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145976679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z w:val="20"/>
          <w:szCs w:val="20"/>
        </w:rPr>
      </w:sdtEndPr>
      <w:sdtContent>
        <w:p w:rsidR="004B0E2A" w:rsidRPr="00DF7CCF" w:rsidRDefault="004B0E2A" w:rsidP="004B0E2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F7CCF">
            <w:rPr>
              <w:noProof/>
              <w:lang w:val="en-ZA" w:eastAsia="en-ZA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0" allowOverlap="1" wp14:anchorId="1501C0C8" wp14:editId="7F4D863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4F88B6C" id="Rectangle 2" o:spid="_x0000_s1026" style="position:absolute;margin-left:0;margin-top:0;width:642.6pt;height:64.4pt;z-index:2516480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DF7CCF">
            <w:rPr>
              <w:noProof/>
              <w:lang w:val="en-ZA" w:eastAsia="en-Z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C227904" wp14:editId="31897FA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31925100" id="Rectangle 5" o:spid="_x0000_s1026" style="position:absolute;margin-left:0;margin-top:0;width:7.15pt;height:831.2pt;z-index:2516572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DF7CCF">
            <w:rPr>
              <w:noProof/>
              <w:lang w:val="en-ZA" w:eastAsia="en-ZA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02F3AE93" wp14:editId="597CDCA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1C2CD8D2" id="Rectangle 4" o:spid="_x0000_s1026" style="position:absolute;margin-left:0;margin-top:0;width:7.15pt;height:831.2pt;z-index:2516541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DF7CCF">
            <w:rPr>
              <w:noProof/>
              <w:lang w:val="en-ZA" w:eastAsia="en-ZA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0" allowOverlap="1" wp14:anchorId="26299C55" wp14:editId="255F330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0F4B692B" id="Rectangle 3" o:spid="_x0000_s1026" style="position:absolute;margin-left:0;margin-top:0;width:642.6pt;height:64.8pt;z-index:251651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4B0E2A" w:rsidRPr="00DF7CCF" w:rsidRDefault="004B0E2A" w:rsidP="004B0E2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id w:val="-1213732665"/>
            <w:docPartObj>
              <w:docPartGallery w:val="Cover Pages"/>
              <w:docPartUnique/>
            </w:docPartObj>
          </w:sdtPr>
          <w:sdtEndPr>
            <w:rPr>
              <w:rFonts w:asciiTheme="minorHAnsi" w:eastAsiaTheme="minorEastAsia" w:hAnsiTheme="minorHAnsi" w:cstheme="minorBidi"/>
              <w:sz w:val="22"/>
              <w:szCs w:val="22"/>
            </w:rPr>
          </w:sdtEndPr>
          <w:sdtContent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</w:p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</w:p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</w:p>
            <w:p w:rsidR="004B0E2A" w:rsidRPr="00DF7CCF" w:rsidRDefault="00422102" w:rsidP="00422102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DF7CCF">
                <w:rPr>
                  <w:rFonts w:ascii="Book Antiqua" w:hAnsi="Book Antiqua"/>
                  <w:noProof/>
                  <w:lang w:val="en-ZA" w:eastAsia="en-ZA"/>
                </w:rPr>
                <w:drawing>
                  <wp:inline distT="0" distB="0" distL="0" distR="0" wp14:anchorId="5036998B" wp14:editId="59AD5431">
                    <wp:extent cx="1276350" cy="1619250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8093" cy="1621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</w:pPr>
              <w:r w:rsidRPr="00DF7CCF">
                <w:rPr>
                  <w:noProof/>
                  <w:lang w:val="en-ZA" w:eastAsia="en-ZA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0" allowOverlap="1" wp14:anchorId="6983CED0" wp14:editId="00A1FACD">
                        <wp:simplePos x="0" y="0"/>
                        <wp:positionH relativeFrom="page">
                          <wp:align>center</wp:align>
                        </wp:positionH>
                        <wp:positionV relativeFrom="page">
                          <wp:align>bottom</wp:align>
                        </wp:positionV>
                        <wp:extent cx="8161020" cy="817880"/>
                        <wp:effectExtent l="0" t="0" r="11430" b="15240"/>
                        <wp:wrapNone/>
                        <wp:docPr id="11" name="Rectangl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61020" cy="817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105000</wp14:pctWidth>
                        </wp14:sizeRelH>
                        <wp14:sizeRelV relativeFrom="topMargin">
                          <wp14:pctHeight>90000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5259B4B2" id="Rectangle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" o:allowincell="f" fillcolor="#9bbb59 [3206]" strokecolor="#4f81bd [3204]">
                        <w10:wrap anchorx="page" anchory="page"/>
                      </v:rect>
                    </w:pict>
                  </mc:Fallback>
                </mc:AlternateContent>
              </w:r>
              <w:r w:rsidRPr="00DF7CCF">
                <w:rPr>
                  <w:noProof/>
                  <w:lang w:val="en-ZA" w:eastAsia="en-ZA"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0" layoutInCell="0" allowOverlap="1" wp14:anchorId="611F39E7" wp14:editId="05FD2BF0">
                        <wp:simplePos x="0" y="0"/>
                        <wp:positionH relativeFrom="lef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90805" cy="10556240"/>
                        <wp:effectExtent l="0" t="0" r="4445" b="5080"/>
                        <wp:wrapNone/>
                        <wp:docPr id="12" name="Rectangl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38D6C759" id="Rectangle 5" o:spid="_x0000_s1026" style="position:absolute;margin-left:0;margin-top:0;width:7.15pt;height:831.2pt;z-index:25166950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KEJwIAAEA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ZtyyhCcCAABABAAADgAAAAAAAAAAAAAAAAAuAgAAZHJzL2Uyb0Rv&#10;Yy54bWxQSwECLQAUAAYACAAAACEAfSHic90AAAAFAQAADwAAAAAAAAAAAAAAAACBBAAAZHJzL2Rv&#10;d25yZXYueG1sUEsFBgAAAAAEAAQA8wAAAIsFAAAAAA==&#10;" o:allowincell="f" strokecolor="#4f81bd [3204]">
                        <w10:wrap anchorx="margin" anchory="page"/>
                      </v:rect>
                    </w:pict>
                  </mc:Fallback>
                </mc:AlternateContent>
              </w:r>
              <w:r w:rsidRPr="00DF7CCF">
                <w:rPr>
                  <w:noProof/>
                  <w:lang w:val="en-ZA" w:eastAsia="en-ZA"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0" allowOverlap="1" wp14:anchorId="5C8B4D09" wp14:editId="67172A9C">
                        <wp:simplePos x="0" y="0"/>
                        <wp:positionH relativeFrom="righ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90805" cy="10556240"/>
                        <wp:effectExtent l="0" t="0" r="4445" b="5080"/>
                        <wp:wrapNone/>
                        <wp:docPr id="13" name="Rectangl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619A660D" id="Rectangle 4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heNwxycCAABABAAADgAAAAAAAAAAAAAAAAAuAgAAZHJzL2Uyb0Rv&#10;Yy54bWxQSwECLQAUAAYACAAAACEAfSHic90AAAAFAQAADwAAAAAAAAAAAAAAAACBBAAAZHJzL2Rv&#10;d25yZXYueG1sUEsFBgAAAAAEAAQA8wAAAIsFAAAAAA==&#10;" o:allowincell="f" strokecolor="#4f81bd [3204]">
                        <w10:wrap anchorx="margin" anchory="page"/>
                      </v:rect>
                    </w:pict>
                  </mc:Fallback>
                </mc:AlternateContent>
              </w:r>
              <w:r w:rsidRPr="00DF7CCF">
                <w:rPr>
                  <w:noProof/>
                  <w:lang w:val="en-ZA" w:eastAsia="en-ZA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0" allowOverlap="1" wp14:anchorId="7ECA826D" wp14:editId="39FA950C">
                        <wp:simplePos x="0" y="0"/>
                        <wp:positionH relativeFrom="page">
                          <wp:align>center</wp:align>
                        </wp:positionH>
                        <wp:positionV relativeFrom="topMargin">
                          <wp:align>top</wp:align>
                        </wp:positionV>
                        <wp:extent cx="8161020" cy="822960"/>
                        <wp:effectExtent l="0" t="0" r="11430" b="15240"/>
                        <wp:wrapNone/>
                        <wp:docPr id="14" name="Rectangl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6102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105000</wp14:pctWidth>
                        </wp14:sizeRelH>
                        <wp14:sizeRelV relativeFrom="topMargin">
                          <wp14:pctHeight>90000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493FC39C" id="Rectangle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" o:allowincell="f" fillcolor="#9bbb59 [3206]" strokecolor="#4f81bd [3204]">
                        <w10:wrap anchorx="page" anchory="margin"/>
                      </v:rect>
                    </w:pict>
                  </mc:Fallback>
                </mc:AlternateContent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</w:p>
            <w:p w:rsidR="004B0E2A" w:rsidRPr="00DF7CCF" w:rsidRDefault="004B0E2A" w:rsidP="004B0E2A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F7CCF">
                <w:rPr>
                  <w:rFonts w:ascii="Arial" w:eastAsiaTheme="majorEastAsia" w:hAnsi="Arial" w:cs="Arial"/>
                  <w:sz w:val="44"/>
                  <w:szCs w:val="44"/>
                  <w:lang w:val="en-ZA"/>
                </w:rPr>
                <w:t>Sundry Income Policy</w:t>
              </w:r>
            </w:p>
          </w:sdtContent>
        </w:sdt>
        <w:p w:rsidR="004B0E2A" w:rsidRPr="00DF7CCF" w:rsidRDefault="004B0E2A" w:rsidP="004B0E2A">
          <w:pPr>
            <w:spacing w:line="36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</w:p>
        <w:p w:rsidR="004B0E2A" w:rsidRPr="00DF7CCF" w:rsidRDefault="004B0E2A" w:rsidP="004B0E2A">
          <w:pPr>
            <w:spacing w:line="36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</w:p>
        <w:p w:rsidR="004B0E2A" w:rsidRPr="00DF7CCF" w:rsidRDefault="004B0E2A" w:rsidP="004B0E2A">
          <w:pPr>
            <w:pStyle w:val="NoSpacing"/>
          </w:pPr>
        </w:p>
        <w:p w:rsidR="004B0E2A" w:rsidRPr="00DF7CCF" w:rsidRDefault="004B0E2A" w:rsidP="00422102">
          <w:pPr>
            <w:rPr>
              <w:rFonts w:ascii="Arial" w:hAnsi="Arial" w:cs="Arial"/>
              <w:sz w:val="20"/>
              <w:szCs w:val="20"/>
            </w:rPr>
          </w:pPr>
          <w:r w:rsidRPr="00DF7CCF"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tbl>
      <w:tblPr>
        <w:tblpPr w:leftFromText="180" w:rightFromText="180" w:vertAnchor="text" w:horzAnchor="margin" w:tblpY="18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53"/>
      </w:tblGrid>
      <w:tr w:rsidR="00DF7CCF" w:rsidRPr="00DF7CCF" w:rsidTr="00FA4485">
        <w:trPr>
          <w:cantSplit/>
          <w:trHeight w:val="274"/>
        </w:trPr>
        <w:tc>
          <w:tcPr>
            <w:tcW w:w="9464" w:type="dxa"/>
            <w:gridSpan w:val="2"/>
            <w:shd w:val="clear" w:color="auto" w:fill="9BBB59" w:themeFill="accent3"/>
          </w:tcPr>
          <w:p w:rsidR="004B0E2A" w:rsidRPr="00DF7CCF" w:rsidRDefault="004B0E2A" w:rsidP="0042210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F7CCF">
              <w:rPr>
                <w:rFonts w:ascii="Arial" w:hAnsi="Arial" w:cs="Arial"/>
                <w:sz w:val="28"/>
                <w:szCs w:val="20"/>
              </w:rPr>
              <w:lastRenderedPageBreak/>
              <w:t>CENTLEC (SOC) LTD</w:t>
            </w:r>
          </w:p>
        </w:tc>
      </w:tr>
      <w:tr w:rsidR="00DF7CCF" w:rsidRPr="00DF7CCF" w:rsidTr="00FA4485">
        <w:trPr>
          <w:cantSplit/>
          <w:trHeight w:val="271"/>
        </w:trPr>
        <w:tc>
          <w:tcPr>
            <w:tcW w:w="5211" w:type="dxa"/>
          </w:tcPr>
          <w:p w:rsidR="004B0E2A" w:rsidRPr="001433F0" w:rsidRDefault="00422102" w:rsidP="004B0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Subject: Sundry Income </w:t>
            </w:r>
            <w:r w:rsidRPr="001433F0"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4253" w:type="dxa"/>
          </w:tcPr>
          <w:p w:rsidR="004B0E2A" w:rsidRPr="001433F0" w:rsidRDefault="00422102" w:rsidP="00683F7E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Policy No: </w:t>
            </w:r>
            <w:r w:rsidR="008B27F3" w:rsidRPr="001433F0">
              <w:rPr>
                <w:rFonts w:ascii="Arial" w:eastAsia="Calibri" w:hAnsi="Arial" w:cs="Arial"/>
                <w:bCs/>
                <w:sz w:val="20"/>
                <w:szCs w:val="20"/>
              </w:rPr>
              <w:t>POL 017</w:t>
            </w:r>
          </w:p>
        </w:tc>
      </w:tr>
      <w:tr w:rsidR="00DF7CCF" w:rsidRPr="00DF7CCF" w:rsidTr="00FA4485">
        <w:trPr>
          <w:trHeight w:val="274"/>
        </w:trPr>
        <w:tc>
          <w:tcPr>
            <w:tcW w:w="5211" w:type="dxa"/>
          </w:tcPr>
          <w:p w:rsidR="004B0E2A" w:rsidRPr="001433F0" w:rsidRDefault="00422102" w:rsidP="00683F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>Directorate:  Finance</w:t>
            </w:r>
          </w:p>
        </w:tc>
        <w:tc>
          <w:tcPr>
            <w:tcW w:w="4253" w:type="dxa"/>
          </w:tcPr>
          <w:p w:rsidR="004B0E2A" w:rsidRPr="001433F0" w:rsidRDefault="001433F0" w:rsidP="00683F7E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>Last Date Of Review: 2019-2020</w:t>
            </w:r>
          </w:p>
        </w:tc>
      </w:tr>
      <w:tr w:rsidR="00DF7CCF" w:rsidRPr="00DF7CCF" w:rsidTr="00FA4485">
        <w:trPr>
          <w:trHeight w:val="279"/>
        </w:trPr>
        <w:tc>
          <w:tcPr>
            <w:tcW w:w="5211" w:type="dxa"/>
          </w:tcPr>
          <w:p w:rsidR="004B0E2A" w:rsidRPr="001433F0" w:rsidRDefault="00422102" w:rsidP="004B0E2A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Sub-Directorate: Revenue Management </w:t>
            </w:r>
          </w:p>
        </w:tc>
        <w:tc>
          <w:tcPr>
            <w:tcW w:w="4253" w:type="dxa"/>
          </w:tcPr>
          <w:p w:rsidR="004B0E2A" w:rsidRPr="001433F0" w:rsidRDefault="00422102" w:rsidP="008B27F3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>Date Approved:</w:t>
            </w:r>
            <w:r w:rsidR="003348D7"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</w:t>
            </w:r>
            <w:r w:rsidR="008B27F3" w:rsidRPr="001433F0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1433F0"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May 2020</w:t>
            </w:r>
          </w:p>
        </w:tc>
      </w:tr>
      <w:tr w:rsidR="00DF7CCF" w:rsidRPr="00DF7CCF" w:rsidTr="00FA4485">
        <w:trPr>
          <w:trHeight w:val="268"/>
        </w:trPr>
        <w:tc>
          <w:tcPr>
            <w:tcW w:w="5211" w:type="dxa"/>
          </w:tcPr>
          <w:p w:rsidR="004B0E2A" w:rsidRPr="001433F0" w:rsidRDefault="00422102" w:rsidP="004B0E2A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>Custodian: GM: Revenue Management</w:t>
            </w:r>
          </w:p>
        </w:tc>
        <w:tc>
          <w:tcPr>
            <w:tcW w:w="4253" w:type="dxa"/>
          </w:tcPr>
          <w:p w:rsidR="004B0E2A" w:rsidRPr="001433F0" w:rsidRDefault="00422102" w:rsidP="003965C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Effective Date:  </w:t>
            </w:r>
            <w:r w:rsidR="001433F0" w:rsidRPr="001433F0">
              <w:rPr>
                <w:rFonts w:ascii="Arial" w:eastAsia="Calibri" w:hAnsi="Arial" w:cs="Arial"/>
                <w:bCs/>
                <w:sz w:val="20"/>
                <w:szCs w:val="20"/>
              </w:rPr>
              <w:t>1 July 2020</w:t>
            </w:r>
          </w:p>
        </w:tc>
      </w:tr>
    </w:tbl>
    <w:p w:rsidR="004B0E2A" w:rsidRPr="00DF7CCF" w:rsidRDefault="004B0E2A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EC4A53" w:rsidRPr="00DF7CCF" w:rsidRDefault="00EC4A53" w:rsidP="00055E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lastRenderedPageBreak/>
        <w:t>TABLE OF CONTENT</w:t>
      </w:r>
    </w:p>
    <w:p w:rsidR="00366A85" w:rsidRPr="00DF7CCF" w:rsidRDefault="00366A85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</w:p>
    <w:p w:rsidR="00055E2E" w:rsidRPr="00DF7CCF" w:rsidRDefault="00D57F83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DEFINITIONS</w:t>
      </w:r>
      <w:r w:rsidR="00366A85" w:rsidRPr="00DF7CCF">
        <w:rPr>
          <w:rFonts w:ascii="Arial" w:hAnsi="Arial" w:cs="Arial"/>
          <w:b/>
          <w:bCs/>
          <w:iCs/>
          <w:sz w:val="20"/>
          <w:szCs w:val="20"/>
          <w:lang w:val="en-GB"/>
        </w:rPr>
        <w:t>……...…………………………</w:t>
      </w:r>
      <w:r w:rsidR="00EC4A53" w:rsidRPr="00DF7CCF">
        <w:rPr>
          <w:rFonts w:ascii="Arial" w:hAnsi="Arial" w:cs="Arial"/>
          <w:b/>
          <w:bCs/>
          <w:iCs/>
          <w:sz w:val="20"/>
          <w:szCs w:val="20"/>
          <w:lang w:val="en-GB"/>
        </w:rPr>
        <w:t>.</w:t>
      </w:r>
      <w:r w:rsidR="00366A85" w:rsidRPr="00DF7CCF">
        <w:rPr>
          <w:rFonts w:ascii="Arial" w:hAnsi="Arial" w:cs="Arial"/>
          <w:b/>
          <w:bCs/>
          <w:iCs/>
          <w:sz w:val="20"/>
          <w:szCs w:val="20"/>
          <w:lang w:val="en-GB"/>
        </w:rPr>
        <w:t>……………………………………</w:t>
      </w:r>
      <w:r w:rsidR="008B27F3">
        <w:rPr>
          <w:rFonts w:ascii="Arial" w:hAnsi="Arial" w:cs="Arial"/>
          <w:b/>
          <w:bCs/>
          <w:iCs/>
          <w:sz w:val="20"/>
          <w:szCs w:val="20"/>
          <w:lang w:val="en-GB"/>
        </w:rPr>
        <w:t>………………</w:t>
      </w:r>
      <w:r w:rsidR="00055E2E" w:rsidRPr="00DF7CCF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055E2E" w:rsidRPr="00DF7CCF">
        <w:rPr>
          <w:rFonts w:ascii="Arial" w:hAnsi="Arial" w:cs="Arial"/>
          <w:b/>
          <w:bCs/>
          <w:sz w:val="20"/>
          <w:szCs w:val="20"/>
          <w:lang w:val="en-GB"/>
        </w:rPr>
        <w:t>3</w:t>
      </w:r>
    </w:p>
    <w:p w:rsidR="00D57F83" w:rsidRPr="00DF7CCF" w:rsidRDefault="00D57F83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1: OBJECTIV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ES……………………………………………………………………</w:t>
      </w:r>
      <w:proofErr w:type="gramStart"/>
      <w:r w:rsidR="008B27F3">
        <w:rPr>
          <w:rFonts w:ascii="Arial" w:hAnsi="Arial" w:cs="Arial"/>
          <w:b/>
          <w:bCs/>
          <w:sz w:val="20"/>
          <w:szCs w:val="20"/>
          <w:lang w:val="en-GB"/>
        </w:rPr>
        <w:t>…..</w:t>
      </w:r>
      <w:proofErr w:type="gramEnd"/>
      <w:r w:rsidR="008B27F3">
        <w:rPr>
          <w:rFonts w:ascii="Arial" w:hAnsi="Arial" w:cs="Arial"/>
          <w:b/>
          <w:bCs/>
          <w:sz w:val="20"/>
          <w:szCs w:val="20"/>
          <w:lang w:val="en-GB"/>
        </w:rPr>
        <w:t>4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2: LEGISLATIVE CONTEXT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ab/>
        <w:t>……………………………………………………</w:t>
      </w:r>
      <w:proofErr w:type="gramStart"/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…..</w:t>
      </w:r>
      <w:proofErr w:type="gramEnd"/>
      <w:r w:rsidRPr="00DF7CCF">
        <w:rPr>
          <w:rFonts w:ascii="Arial" w:hAnsi="Arial" w:cs="Arial"/>
          <w:b/>
          <w:bCs/>
          <w:sz w:val="20"/>
          <w:szCs w:val="20"/>
          <w:lang w:val="en-ZA"/>
        </w:rPr>
        <w:tab/>
      </w:r>
      <w:r w:rsidR="00366A85" w:rsidRPr="00DF7CCF">
        <w:rPr>
          <w:rFonts w:ascii="Arial" w:hAnsi="Arial" w:cs="Arial"/>
          <w:b/>
          <w:bCs/>
          <w:sz w:val="20"/>
          <w:szCs w:val="20"/>
          <w:lang w:val="en-ZA"/>
        </w:rPr>
        <w:t>4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3: POLICY PRINCIPLES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……………………………………………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…...5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4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: IDENTIFICATION OF SUNDRY INCOME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ab/>
        <w:t>…………………………………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..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....5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5: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 RESPONSIBILITIES…………………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...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……………………………………………6</w:t>
      </w:r>
    </w:p>
    <w:p w:rsidR="00EC4A53" w:rsidRPr="00DF7CCF" w:rsidRDefault="00366A85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SECTION 6: ACCOUNTING FOR 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UNDRY INCOME…………………………………...…….6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SECTION 7: 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SUNDRY CONSU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MER ACCOUNT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ab/>
        <w:t>……………………………………………….7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N 8: REVIEW 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PROCESS</w:t>
      </w:r>
      <w:r w:rsidR="008B27F3"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………………………</w:t>
      </w:r>
      <w:proofErr w:type="gramStart"/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…..</w:t>
      </w:r>
      <w:proofErr w:type="gramEnd"/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……………………………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….…..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.7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</w:p>
    <w:p w:rsidR="0041778B" w:rsidRPr="00DF7CCF" w:rsidRDefault="0041778B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Default="00D6584D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Pr="00DF7CCF" w:rsidRDefault="00D6584D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778B" w:rsidRPr="00DF7CCF" w:rsidRDefault="0041778B" w:rsidP="0041778B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  <w:r w:rsidRPr="00DF7CCF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t>EFINITIONS:</w:t>
      </w:r>
    </w:p>
    <w:p w:rsidR="00DB080D" w:rsidRPr="00DF7CCF" w:rsidRDefault="00DB080D" w:rsidP="0041778B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0F7F59" w:rsidRPr="00DF7CCF" w:rsidRDefault="00186627" w:rsidP="0018662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en" w:eastAsia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t>Sundry Income</w:t>
      </w:r>
      <w:r w:rsidRPr="00DF7CCF">
        <w:rPr>
          <w:rFonts w:ascii="Arial" w:hAnsi="Arial" w:cs="Arial"/>
          <w:bCs/>
          <w:sz w:val="20"/>
          <w:szCs w:val="20"/>
          <w:lang w:val="en" w:eastAsia="en-ZA"/>
        </w:rPr>
        <w:t>:  Income from sources that cannot be accurately predicted or income from revenue streams outside the entity’s primary line of business.</w:t>
      </w:r>
    </w:p>
    <w:p w:rsidR="00DB080D" w:rsidRPr="00DF7CCF" w:rsidRDefault="00DB080D" w:rsidP="0041778B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41778B" w:rsidRPr="00DF7CCF" w:rsidRDefault="0041778B" w:rsidP="0041778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6627" w:rsidRPr="00DF7CCF" w:rsidRDefault="0018662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6627" w:rsidRPr="00DF7CCF" w:rsidRDefault="0018662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E6F89" w:rsidRPr="00DF7CCF" w:rsidRDefault="000E6F89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E6F89" w:rsidRPr="00DF7CCF" w:rsidRDefault="000E6F89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D4267F" w:rsidP="00D4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lastRenderedPageBreak/>
        <w:t xml:space="preserve">SECTION 1: </w:t>
      </w:r>
      <w:r w:rsidR="0041778B"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t>OBJECTIVES</w:t>
      </w:r>
    </w:p>
    <w:p w:rsidR="0041778B" w:rsidRPr="00DF7CCF" w:rsidRDefault="0041778B" w:rsidP="0041778B">
      <w:pPr>
        <w:spacing w:line="360" w:lineRule="auto"/>
        <w:jc w:val="both"/>
        <w:rPr>
          <w:rFonts w:ascii="Arial" w:hAnsi="Arial" w:cs="Arial"/>
          <w:sz w:val="20"/>
          <w:szCs w:val="20"/>
          <w:lang w:val="en" w:eastAsia="en-ZA"/>
        </w:rPr>
      </w:pPr>
    </w:p>
    <w:p w:rsidR="00186627" w:rsidRPr="00DF7CCF" w:rsidRDefault="006377E8" w:rsidP="006D3B8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  <w:lang w:val="en" w:eastAsia="en-ZA"/>
        </w:rPr>
      </w:pPr>
      <w:r w:rsidRPr="00DF7CCF">
        <w:rPr>
          <w:rFonts w:ascii="Arial" w:hAnsi="Arial" w:cs="Arial"/>
          <w:sz w:val="20"/>
          <w:szCs w:val="20"/>
          <w:lang w:val="en" w:eastAsia="en-ZA"/>
        </w:rPr>
        <w:t xml:space="preserve">To provide for policy framework regarding identification and accounting for </w:t>
      </w:r>
      <w:r w:rsidR="000E6F89" w:rsidRPr="00DF7CCF">
        <w:rPr>
          <w:rFonts w:ascii="Arial" w:hAnsi="Arial" w:cs="Arial"/>
          <w:sz w:val="20"/>
          <w:szCs w:val="20"/>
        </w:rPr>
        <w:t>income</w:t>
      </w:r>
      <w:r w:rsidRPr="00DF7CCF">
        <w:rPr>
          <w:rFonts w:ascii="Arial" w:hAnsi="Arial" w:cs="Arial"/>
          <w:sz w:val="20"/>
          <w:szCs w:val="20"/>
        </w:rPr>
        <w:t xml:space="preserve"> that is gen</w:t>
      </w:r>
      <w:r w:rsidR="000E6F89" w:rsidRPr="00DF7CCF">
        <w:rPr>
          <w:rFonts w:ascii="Arial" w:hAnsi="Arial" w:cs="Arial"/>
          <w:sz w:val="20"/>
          <w:szCs w:val="20"/>
        </w:rPr>
        <w:t>erated from sources other than the</w:t>
      </w:r>
      <w:r w:rsidRPr="00DF7CCF">
        <w:rPr>
          <w:rFonts w:ascii="Arial" w:hAnsi="Arial" w:cs="Arial"/>
          <w:sz w:val="20"/>
          <w:szCs w:val="20"/>
        </w:rPr>
        <w:t xml:space="preserve"> </w:t>
      </w:r>
      <w:r w:rsidR="000E6F89" w:rsidRPr="00DF7CCF">
        <w:rPr>
          <w:rFonts w:ascii="Arial" w:hAnsi="Arial" w:cs="Arial"/>
          <w:sz w:val="20"/>
          <w:szCs w:val="20"/>
        </w:rPr>
        <w:t>entity</w:t>
      </w:r>
      <w:r w:rsidRPr="00DF7CCF">
        <w:rPr>
          <w:rFonts w:ascii="Arial" w:hAnsi="Arial" w:cs="Arial"/>
          <w:sz w:val="20"/>
          <w:szCs w:val="20"/>
        </w:rPr>
        <w:t xml:space="preserve">'s </w:t>
      </w:r>
      <w:r w:rsidR="000E6F89" w:rsidRPr="00DF7CCF">
        <w:rPr>
          <w:rFonts w:ascii="Arial" w:hAnsi="Arial" w:cs="Arial"/>
          <w:sz w:val="20"/>
          <w:szCs w:val="20"/>
        </w:rPr>
        <w:t xml:space="preserve">primary </w:t>
      </w:r>
      <w:r w:rsidRPr="00DF7CCF">
        <w:rPr>
          <w:rFonts w:ascii="Arial" w:hAnsi="Arial" w:cs="Arial"/>
          <w:sz w:val="20"/>
          <w:szCs w:val="20"/>
        </w:rPr>
        <w:t>business operations.</w:t>
      </w:r>
    </w:p>
    <w:p w:rsidR="00144220" w:rsidRPr="00DF7CCF" w:rsidRDefault="00144220" w:rsidP="00144220">
      <w:pPr>
        <w:pStyle w:val="ListParagraph"/>
        <w:rPr>
          <w:rFonts w:ascii="HelveticaNeue-Light" w:hAnsi="HelveticaNeue-Light" w:cs="HelveticaNeue-Light"/>
          <w:sz w:val="20"/>
          <w:szCs w:val="20"/>
        </w:rPr>
      </w:pPr>
    </w:p>
    <w:p w:rsidR="0041778B" w:rsidRPr="00DF7CCF" w:rsidRDefault="00D4267F" w:rsidP="009B674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none"/>
        </w:rPr>
      </w:pPr>
      <w:r w:rsidRPr="00DF7CCF">
        <w:rPr>
          <w:b/>
          <w:sz w:val="20"/>
          <w:szCs w:val="20"/>
          <w:u w:val="none"/>
        </w:rPr>
        <w:t xml:space="preserve">SECTION 2: </w:t>
      </w:r>
      <w:r w:rsidR="0041778B" w:rsidRPr="00DF7CCF">
        <w:rPr>
          <w:b/>
          <w:sz w:val="20"/>
          <w:szCs w:val="20"/>
          <w:u w:val="none"/>
        </w:rPr>
        <w:t>LEGISLATIVE CONTEXT</w:t>
      </w:r>
    </w:p>
    <w:p w:rsidR="00F46E77" w:rsidRPr="00DF7CCF" w:rsidRDefault="00F46E77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bCs/>
          <w:sz w:val="20"/>
          <w:szCs w:val="20"/>
          <w:lang w:val="en-ZA"/>
        </w:rPr>
        <w:t xml:space="preserve">Section 97 of the Municipal Finance Management Act, </w:t>
      </w:r>
      <w:proofErr w:type="gramStart"/>
      <w:r w:rsidRPr="00DF7CCF">
        <w:rPr>
          <w:rFonts w:ascii="Arial" w:hAnsi="Arial" w:cs="Arial"/>
          <w:bCs/>
          <w:sz w:val="20"/>
          <w:szCs w:val="20"/>
          <w:lang w:val="en-ZA"/>
        </w:rPr>
        <w:t>No</w:t>
      </w:r>
      <w:proofErr w:type="gramEnd"/>
      <w:r w:rsidRPr="00DF7CCF">
        <w:rPr>
          <w:rFonts w:ascii="Arial" w:hAnsi="Arial" w:cs="Arial"/>
          <w:bCs/>
          <w:sz w:val="20"/>
          <w:szCs w:val="20"/>
          <w:lang w:val="en-ZA"/>
        </w:rPr>
        <w:t xml:space="preserve"> 56 of 2003 stipulates that t</w:t>
      </w:r>
      <w:r w:rsidRPr="00DF7CCF">
        <w:rPr>
          <w:rFonts w:ascii="Arial" w:hAnsi="Arial" w:cs="Arial"/>
          <w:sz w:val="20"/>
          <w:szCs w:val="20"/>
          <w:lang w:val="en-ZA"/>
        </w:rPr>
        <w:t>he Accounting Officer of a municipal entity must take all reasonable steps to ensure: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has and implements effective revenue collection systems to give effect to its budget;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all revenue due to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is collected;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any funds collected by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on behalf of a</w:t>
      </w:r>
      <w:r w:rsidR="004B0E2A" w:rsidRPr="00DF7CCF">
        <w:rPr>
          <w:rFonts w:ascii="Arial" w:hAnsi="Arial" w:cs="Arial"/>
          <w:sz w:val="20"/>
          <w:szCs w:val="20"/>
          <w:lang w:val="en-ZA"/>
        </w:rPr>
        <w:t>ny</w:t>
      </w:r>
      <w:r w:rsidRPr="00DF7CCF">
        <w:rPr>
          <w:rFonts w:ascii="Arial" w:hAnsi="Arial" w:cs="Arial"/>
          <w:sz w:val="20"/>
          <w:szCs w:val="20"/>
          <w:lang w:val="en-ZA"/>
        </w:rPr>
        <w:t xml:space="preserve"> municipality:</w:t>
      </w:r>
    </w:p>
    <w:p w:rsidR="001E604D" w:rsidRPr="00DF7CCF" w:rsidRDefault="001E604D" w:rsidP="001E60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306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are transferred to that municipality strictly in accordance with the agreement between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 xml:space="preserve">entity and the municipality; and </w:t>
      </w:r>
    </w:p>
    <w:p w:rsidR="001E604D" w:rsidRPr="00DF7CCF" w:rsidRDefault="001E604D" w:rsidP="001E60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306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are not used for the purposes of the entity;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 municipal entity has effective revenue collection systems consistent with those of the parent municipality;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revenue due to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is calculated on a monthly basis;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accounts for service charges are prepared on a monthly basis, or less often as may be prescribed where monthly accounts are uneconomical;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all money received is promptly deposited in accordance with this Act into the municipal entity’s bank accounts;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 municipal entity has and maintains a management, accounting and information system which:</w:t>
      </w:r>
    </w:p>
    <w:p w:rsidR="001E604D" w:rsidRPr="00DF7CCF" w:rsidRDefault="001E604D" w:rsidP="001E604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recognises revenue when it is earned;</w:t>
      </w:r>
    </w:p>
    <w:p w:rsidR="001E604D" w:rsidRPr="00DF7CCF" w:rsidRDefault="001E604D" w:rsidP="001E604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accounts for debtors; and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(iii) accounts for receipts of revenue;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 municipal entity has and maintains a system of internal control in respect of debtors and revenue, as may be prescribed; and</w:t>
      </w:r>
    </w:p>
    <w:p w:rsidR="00186627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all revenue received by the municipal entity, including revenue received by and collecting agent on its behalf, is reconciled at least on a weekly basis</w:t>
      </w:r>
    </w:p>
    <w:p w:rsidR="00186627" w:rsidRPr="00DF7CCF" w:rsidRDefault="00186627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E604D" w:rsidRPr="00DF7CCF" w:rsidRDefault="001E604D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E604D" w:rsidRPr="00DF7CCF" w:rsidRDefault="001E604D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86627" w:rsidRPr="00DF7CCF" w:rsidRDefault="00186627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41778B" w:rsidRPr="00DF7CCF" w:rsidRDefault="00D4267F" w:rsidP="009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lastRenderedPageBreak/>
        <w:t xml:space="preserve">SECTION 3: </w:t>
      </w:r>
      <w:r w:rsidR="0041778B" w:rsidRPr="00DF7CCF">
        <w:rPr>
          <w:rFonts w:ascii="Arial" w:hAnsi="Arial" w:cs="Arial"/>
          <w:b/>
          <w:sz w:val="20"/>
          <w:szCs w:val="20"/>
        </w:rPr>
        <w:t>POLICY PRINCIPLES</w:t>
      </w:r>
    </w:p>
    <w:p w:rsidR="0041778B" w:rsidRPr="00DF7CCF" w:rsidRDefault="0041778B" w:rsidP="0041778B">
      <w:pPr>
        <w:spacing w:line="360" w:lineRule="auto"/>
        <w:jc w:val="both"/>
        <w:rPr>
          <w:rFonts w:ascii="Arial" w:hAnsi="Arial" w:cs="Arial"/>
          <w:sz w:val="20"/>
          <w:szCs w:val="20"/>
          <w:lang w:val="en" w:eastAsia="en-ZA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levied by the entity should be fair in relation to the goods and/or services provided.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should reflect the principles outlined in the appropriate by-laws as determined by the parent municipality where appropriate, and other policies of the entity.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should, depending on legislation, always at least cover the cost of providing the goods or service and the costs of collection, unless the entity has taken a policy decision to subsidize the service.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should wherever possible be obtained in advance of the goods and/or services being provided. If not, and where appropriate, the prior written agreement of the person receiving the goods and services should be obtained to pay for the goods and/or service.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Fees and charges must be reviewed at least annually.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Where appropriate, there should be a clear and prompt billing, collection process and receipting of sundry income.</w:t>
      </w:r>
    </w:p>
    <w:p w:rsidR="00754467" w:rsidRPr="00DF7CCF" w:rsidRDefault="00754467" w:rsidP="00754467">
      <w:pPr>
        <w:pStyle w:val="ListParagraph"/>
        <w:rPr>
          <w:rFonts w:ascii="Arial" w:hAnsi="Arial" w:cs="Arial"/>
          <w:sz w:val="20"/>
          <w:szCs w:val="20"/>
        </w:rPr>
      </w:pPr>
    </w:p>
    <w:p w:rsidR="00754467" w:rsidRPr="00DF7CCF" w:rsidRDefault="00754467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This policy must be read together with Credit Control and Debt Collection Policy and the Revenue Enhancement Strategy of the entity.</w:t>
      </w:r>
    </w:p>
    <w:p w:rsidR="001E604D" w:rsidRPr="00DF7CCF" w:rsidRDefault="001E604D" w:rsidP="001E604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F7F59" w:rsidRPr="00DF7CCF" w:rsidRDefault="00D4267F" w:rsidP="000F7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 xml:space="preserve">SECTION 4: </w:t>
      </w:r>
      <w:r w:rsidR="00C911AE" w:rsidRPr="00DF7CCF">
        <w:rPr>
          <w:rFonts w:ascii="Arial" w:hAnsi="Arial" w:cs="Arial"/>
          <w:b/>
          <w:sz w:val="20"/>
          <w:szCs w:val="20"/>
        </w:rPr>
        <w:t xml:space="preserve">IDENTIFICATION OF </w:t>
      </w:r>
      <w:r w:rsidR="00186627" w:rsidRPr="00DF7CCF">
        <w:rPr>
          <w:rFonts w:ascii="Arial" w:hAnsi="Arial" w:cs="Arial"/>
          <w:b/>
          <w:sz w:val="20"/>
          <w:szCs w:val="20"/>
        </w:rPr>
        <w:t>SUNDRY INCOME</w:t>
      </w:r>
    </w:p>
    <w:p w:rsidR="009837B2" w:rsidRPr="00DF7CCF" w:rsidRDefault="009837B2" w:rsidP="000F7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87CF8" w:rsidRPr="00DF7CCF" w:rsidRDefault="00387CF8" w:rsidP="00387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2BB0" w:rsidRPr="00DF7CCF" w:rsidRDefault="00186627" w:rsidP="007C2B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Income that fall within this category of transaction shall constitute </w:t>
      </w:r>
      <w:r w:rsidR="006D3B88" w:rsidRPr="00DF7CCF">
        <w:rPr>
          <w:rFonts w:ascii="Arial" w:hAnsi="Arial" w:cs="Arial"/>
          <w:sz w:val="20"/>
          <w:szCs w:val="20"/>
        </w:rPr>
        <w:t xml:space="preserve">sundry income </w:t>
      </w:r>
      <w:r w:rsidRPr="00DF7CCF">
        <w:rPr>
          <w:rFonts w:ascii="Arial" w:hAnsi="Arial" w:cs="Arial"/>
          <w:sz w:val="20"/>
          <w:szCs w:val="20"/>
        </w:rPr>
        <w:t>in terms of this policy:</w:t>
      </w:r>
    </w:p>
    <w:p w:rsidR="00186627" w:rsidRPr="00DF7CCF" w:rsidRDefault="00186627" w:rsidP="007C2B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Sale of redundant material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Clearance Certificates 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Sale of Tender documents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Credit Control fees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Discount Received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Training Income (Fees paid for training of artisans)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Private Telephone Calls Recoverable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Reconnection tests and Removal of meters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Recovery Sundry Services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Connection fees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lastRenderedPageBreak/>
        <w:t>Interest from investments</w:t>
      </w:r>
    </w:p>
    <w:p w:rsidR="00D500B4" w:rsidRPr="00DF7CCF" w:rsidRDefault="00D500B4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Agencies fees</w:t>
      </w:r>
    </w:p>
    <w:p w:rsidR="00D500B4" w:rsidRPr="00DF7CCF" w:rsidRDefault="00D500B4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Profit from sale of assets</w:t>
      </w:r>
    </w:p>
    <w:p w:rsidR="00D500B4" w:rsidRPr="00DF7CCF" w:rsidRDefault="00D500B4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Admin fees</w:t>
      </w:r>
    </w:p>
    <w:p w:rsidR="00AF46A7" w:rsidRDefault="00AF46A7" w:rsidP="00AF46A7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Pr="00DF7CCF" w:rsidRDefault="00D6584D" w:rsidP="00AF46A7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DAE" w:rsidRPr="00DF7CCF" w:rsidRDefault="00D4267F" w:rsidP="00387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 xml:space="preserve">SECTIO N 5: </w:t>
      </w:r>
      <w:r w:rsidR="001E604D" w:rsidRPr="00DF7CCF">
        <w:rPr>
          <w:rFonts w:ascii="Arial" w:hAnsi="Arial" w:cs="Arial"/>
          <w:b/>
          <w:sz w:val="20"/>
          <w:szCs w:val="20"/>
        </w:rPr>
        <w:t>RESPONSIBILITIES</w:t>
      </w:r>
    </w:p>
    <w:p w:rsidR="00A05E7E" w:rsidRPr="00DF7CCF" w:rsidRDefault="00A05E7E" w:rsidP="00A05E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  <w:lang w:val="en"/>
        </w:rPr>
      </w:pP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Heads of various Departments must ensure that: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Financial </w:t>
      </w:r>
      <w:r w:rsidR="006D3B88" w:rsidRPr="00DF7CCF">
        <w:rPr>
          <w:rFonts w:ascii="Arial" w:hAnsi="Arial" w:cs="Arial"/>
          <w:sz w:val="20"/>
          <w:szCs w:val="20"/>
        </w:rPr>
        <w:t xml:space="preserve">management responsibilities </w:t>
      </w:r>
      <w:r w:rsidRPr="00DF7CCF">
        <w:rPr>
          <w:rFonts w:ascii="Arial" w:hAnsi="Arial" w:cs="Arial"/>
          <w:sz w:val="20"/>
          <w:szCs w:val="20"/>
        </w:rPr>
        <w:t>in relation to the collection of sundry income associated to their functions are adhered to;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parts of this policy that apply to their functions are correctly followed and adhered to</w:t>
      </w:r>
      <w:r w:rsidR="006D3B88" w:rsidRPr="00DF7CCF">
        <w:rPr>
          <w:rFonts w:ascii="Arial" w:hAnsi="Arial" w:cs="Arial"/>
          <w:sz w:val="20"/>
          <w:szCs w:val="20"/>
        </w:rPr>
        <w:t>;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They proactively support the achievement of institutional targets for sundry income</w:t>
      </w:r>
      <w:r w:rsidR="00E250D2" w:rsidRPr="00DF7CCF">
        <w:rPr>
          <w:rFonts w:ascii="Arial" w:hAnsi="Arial" w:cs="Arial"/>
          <w:sz w:val="20"/>
          <w:szCs w:val="20"/>
        </w:rPr>
        <w:t xml:space="preserve"> as budgeted for</w:t>
      </w:r>
      <w:r w:rsidR="006D3B88" w:rsidRPr="00DF7CCF">
        <w:rPr>
          <w:rFonts w:ascii="Arial" w:hAnsi="Arial" w:cs="Arial"/>
          <w:sz w:val="20"/>
          <w:szCs w:val="20"/>
        </w:rPr>
        <w:t>;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Relevant systems and procedures are put in place</w:t>
      </w:r>
      <w:r w:rsidR="00E250D2" w:rsidRPr="00DF7CCF">
        <w:rPr>
          <w:rFonts w:ascii="Arial" w:hAnsi="Arial" w:cs="Arial"/>
          <w:sz w:val="20"/>
          <w:szCs w:val="20"/>
        </w:rPr>
        <w:t xml:space="preserve"> to ensure correct allocation of sundry income realized.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E250D2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In terms of this policy, the</w:t>
      </w:r>
      <w:r w:rsidR="001E604D" w:rsidRPr="00DF7CCF">
        <w:rPr>
          <w:rFonts w:ascii="Arial" w:hAnsi="Arial" w:cs="Arial"/>
          <w:sz w:val="20"/>
          <w:szCs w:val="20"/>
        </w:rPr>
        <w:t xml:space="preserve"> </w:t>
      </w:r>
      <w:r w:rsidRPr="00DF7CCF">
        <w:rPr>
          <w:rFonts w:ascii="Arial" w:hAnsi="Arial" w:cs="Arial"/>
          <w:sz w:val="20"/>
          <w:szCs w:val="20"/>
        </w:rPr>
        <w:t xml:space="preserve">Chief Financial Officer shall be responsible for </w:t>
      </w:r>
      <w:r w:rsidR="001E604D" w:rsidRPr="00DF7CCF">
        <w:rPr>
          <w:rFonts w:ascii="Arial" w:hAnsi="Arial" w:cs="Arial"/>
          <w:sz w:val="20"/>
          <w:szCs w:val="20"/>
        </w:rPr>
        <w:t xml:space="preserve">providing central support and the relevant </w:t>
      </w:r>
      <w:r w:rsidRPr="00DF7CCF">
        <w:rPr>
          <w:rFonts w:ascii="Arial" w:hAnsi="Arial" w:cs="Arial"/>
          <w:sz w:val="20"/>
          <w:szCs w:val="20"/>
        </w:rPr>
        <w:t xml:space="preserve">guidance at the institutional level </w:t>
      </w:r>
      <w:r w:rsidR="001E604D" w:rsidRPr="00DF7CCF">
        <w:rPr>
          <w:rFonts w:ascii="Arial" w:hAnsi="Arial" w:cs="Arial"/>
          <w:sz w:val="20"/>
          <w:szCs w:val="20"/>
        </w:rPr>
        <w:t xml:space="preserve">to ensure this policy </w:t>
      </w:r>
      <w:r w:rsidR="006D3B88" w:rsidRPr="00DF7CCF">
        <w:rPr>
          <w:rFonts w:ascii="Arial" w:hAnsi="Arial" w:cs="Arial"/>
          <w:sz w:val="20"/>
          <w:szCs w:val="20"/>
        </w:rPr>
        <w:t>is</w:t>
      </w:r>
      <w:r w:rsidR="001E604D" w:rsidRPr="00DF7CCF">
        <w:rPr>
          <w:rFonts w:ascii="Arial" w:hAnsi="Arial" w:cs="Arial"/>
          <w:sz w:val="20"/>
          <w:szCs w:val="20"/>
        </w:rPr>
        <w:t xml:space="preserve"> adhered to.</w:t>
      </w:r>
    </w:p>
    <w:p w:rsidR="00CD0DAE" w:rsidRDefault="00CD0DAE" w:rsidP="00CD0D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Pr="00DF7CCF" w:rsidRDefault="00D6584D" w:rsidP="00CD0D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6627" w:rsidRPr="00DF7CCF" w:rsidRDefault="00D4267F" w:rsidP="0018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>SECTION 6:</w:t>
      </w:r>
      <w:r w:rsidR="00186627" w:rsidRPr="00DF7CCF">
        <w:rPr>
          <w:rFonts w:ascii="Arial" w:hAnsi="Arial" w:cs="Arial"/>
          <w:b/>
          <w:sz w:val="20"/>
          <w:szCs w:val="20"/>
        </w:rPr>
        <w:t xml:space="preserve"> ACCOUNTING FOR SUNDRY INCOME</w:t>
      </w:r>
    </w:p>
    <w:p w:rsidR="00186627" w:rsidRPr="00DF7CCF" w:rsidRDefault="00186627" w:rsidP="001866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50D2" w:rsidRPr="00DF7CCF" w:rsidRDefault="00186627" w:rsidP="008442A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Sundry income or miscellaneous income may be shown as a line item on the income statement under "</w:t>
      </w:r>
      <w:r w:rsidR="00E250D2" w:rsidRPr="00DF7CCF">
        <w:rPr>
          <w:rFonts w:ascii="Arial" w:hAnsi="Arial" w:cs="Arial"/>
          <w:sz w:val="20"/>
          <w:szCs w:val="20"/>
        </w:rPr>
        <w:t>other operating income," and shall</w:t>
      </w:r>
      <w:r w:rsidRPr="00DF7CCF">
        <w:rPr>
          <w:rFonts w:ascii="Arial" w:hAnsi="Arial" w:cs="Arial"/>
          <w:sz w:val="20"/>
          <w:szCs w:val="20"/>
        </w:rPr>
        <w:t xml:space="preserve"> include </w:t>
      </w:r>
      <w:r w:rsidR="00E250D2" w:rsidRPr="00DF7CCF">
        <w:rPr>
          <w:rFonts w:ascii="Arial" w:hAnsi="Arial" w:cs="Arial"/>
          <w:sz w:val="20"/>
          <w:szCs w:val="20"/>
        </w:rPr>
        <w:t>income from a number of sources.</w:t>
      </w:r>
    </w:p>
    <w:p w:rsidR="00E250D2" w:rsidRPr="00DF7CCF" w:rsidRDefault="00E250D2" w:rsidP="008442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6627" w:rsidRPr="00DF7CCF" w:rsidRDefault="00E250D2" w:rsidP="008442A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I</w:t>
      </w:r>
      <w:r w:rsidR="00186627" w:rsidRPr="00DF7CCF">
        <w:rPr>
          <w:rFonts w:ascii="Arial" w:hAnsi="Arial" w:cs="Arial"/>
          <w:sz w:val="20"/>
          <w:szCs w:val="20"/>
        </w:rPr>
        <w:t xml:space="preserve">nterest income </w:t>
      </w:r>
      <w:r w:rsidRPr="00DF7CCF">
        <w:rPr>
          <w:rFonts w:ascii="Arial" w:hAnsi="Arial" w:cs="Arial"/>
          <w:sz w:val="20"/>
          <w:szCs w:val="20"/>
        </w:rPr>
        <w:t xml:space="preserve">from investments </w:t>
      </w:r>
      <w:r w:rsidR="00186627" w:rsidRPr="00DF7CCF">
        <w:rPr>
          <w:rFonts w:ascii="Arial" w:hAnsi="Arial" w:cs="Arial"/>
          <w:sz w:val="20"/>
          <w:szCs w:val="20"/>
        </w:rPr>
        <w:t xml:space="preserve">may or may not be included in sundry income </w:t>
      </w:r>
      <w:r w:rsidRPr="00DF7CCF">
        <w:rPr>
          <w:rFonts w:ascii="Arial" w:hAnsi="Arial" w:cs="Arial"/>
          <w:sz w:val="20"/>
          <w:szCs w:val="20"/>
        </w:rPr>
        <w:t>at the discretion of the Chief Financial Officer</w:t>
      </w:r>
      <w:r w:rsidR="00186627" w:rsidRPr="00DF7CCF">
        <w:rPr>
          <w:rFonts w:ascii="Arial" w:hAnsi="Arial" w:cs="Arial"/>
          <w:sz w:val="20"/>
          <w:szCs w:val="20"/>
        </w:rPr>
        <w:t xml:space="preserve">; </w:t>
      </w:r>
      <w:r w:rsidRPr="00DF7CCF">
        <w:rPr>
          <w:rFonts w:ascii="Arial" w:hAnsi="Arial" w:cs="Arial"/>
          <w:sz w:val="20"/>
          <w:szCs w:val="20"/>
        </w:rPr>
        <w:t>whoever if the</w:t>
      </w:r>
      <w:r w:rsidR="004B0E2A" w:rsidRPr="00DF7CCF">
        <w:rPr>
          <w:rFonts w:ascii="Arial" w:hAnsi="Arial" w:cs="Arial"/>
          <w:sz w:val="20"/>
          <w:szCs w:val="20"/>
        </w:rPr>
        <w:t xml:space="preserve"> </w:t>
      </w:r>
      <w:r w:rsidRPr="00DF7CCF">
        <w:rPr>
          <w:rFonts w:ascii="Arial" w:hAnsi="Arial" w:cs="Arial"/>
          <w:sz w:val="20"/>
          <w:szCs w:val="20"/>
        </w:rPr>
        <w:t>entity</w:t>
      </w:r>
      <w:r w:rsidR="00186627" w:rsidRPr="00DF7CCF">
        <w:rPr>
          <w:rFonts w:ascii="Arial" w:hAnsi="Arial" w:cs="Arial"/>
          <w:sz w:val="20"/>
          <w:szCs w:val="20"/>
        </w:rPr>
        <w:t xml:space="preserve"> has substantial interest income due to large cash </w:t>
      </w:r>
      <w:r w:rsidRPr="00DF7CCF">
        <w:rPr>
          <w:rFonts w:ascii="Arial" w:hAnsi="Arial" w:cs="Arial"/>
          <w:sz w:val="20"/>
          <w:szCs w:val="20"/>
        </w:rPr>
        <w:t>reserves</w:t>
      </w:r>
      <w:r w:rsidR="00186627" w:rsidRPr="00DF7CCF">
        <w:rPr>
          <w:rFonts w:ascii="Arial" w:hAnsi="Arial" w:cs="Arial"/>
          <w:sz w:val="20"/>
          <w:szCs w:val="20"/>
        </w:rPr>
        <w:t xml:space="preserve">, </w:t>
      </w:r>
      <w:r w:rsidRPr="00DF7CCF">
        <w:rPr>
          <w:rFonts w:ascii="Arial" w:hAnsi="Arial" w:cs="Arial"/>
          <w:sz w:val="20"/>
          <w:szCs w:val="20"/>
        </w:rPr>
        <w:t xml:space="preserve">such </w:t>
      </w:r>
      <w:r w:rsidR="00186627" w:rsidRPr="00DF7CCF">
        <w:rPr>
          <w:rFonts w:ascii="Arial" w:hAnsi="Arial" w:cs="Arial"/>
          <w:sz w:val="20"/>
          <w:szCs w:val="20"/>
        </w:rPr>
        <w:t xml:space="preserve">interest income </w:t>
      </w:r>
      <w:r w:rsidRPr="00DF7CCF">
        <w:rPr>
          <w:rFonts w:ascii="Arial" w:hAnsi="Arial" w:cs="Arial"/>
          <w:sz w:val="20"/>
          <w:szCs w:val="20"/>
        </w:rPr>
        <w:t>shall</w:t>
      </w:r>
      <w:r w:rsidR="00186627" w:rsidRPr="00DF7CCF">
        <w:rPr>
          <w:rFonts w:ascii="Arial" w:hAnsi="Arial" w:cs="Arial"/>
          <w:sz w:val="20"/>
          <w:szCs w:val="20"/>
        </w:rPr>
        <w:t xml:space="preserve"> be shown as a line item, separate from sundry income.</w:t>
      </w:r>
    </w:p>
    <w:p w:rsidR="00754467" w:rsidRPr="00DF7CCF" w:rsidRDefault="00754467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442AC" w:rsidRPr="00DF7CCF" w:rsidRDefault="008442AC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B27F3" w:rsidRPr="00DF7CCF" w:rsidRDefault="008B27F3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54467" w:rsidRPr="00DF7CCF" w:rsidRDefault="00D4267F" w:rsidP="007544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ZA"/>
        </w:rPr>
        <w:lastRenderedPageBreak/>
        <w:t>SECTION 7:</w:t>
      </w:r>
      <w:r w:rsidR="00754467" w:rsidRPr="00DF7CCF">
        <w:rPr>
          <w:rFonts w:ascii="Arial" w:hAnsi="Arial" w:cs="Arial"/>
          <w:b/>
          <w:bCs/>
          <w:sz w:val="20"/>
          <w:szCs w:val="20"/>
          <w:lang w:val="en-ZA"/>
        </w:rPr>
        <w:t xml:space="preserve"> SUNDRY CONSUMER ACCOUNTS</w:t>
      </w:r>
    </w:p>
    <w:p w:rsidR="00754467" w:rsidRPr="00DF7CCF" w:rsidRDefault="00754467" w:rsidP="007544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754467" w:rsidRPr="00DF7CCF" w:rsidRDefault="00754467" w:rsidP="008442A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Sundry consumer accounts may be rendered by the entity from time to time. Any sundry consumer account shall be included in the monthly consolidated account produced by the entity.</w:t>
      </w:r>
    </w:p>
    <w:p w:rsidR="00754467" w:rsidRPr="00DF7CCF" w:rsidRDefault="00754467" w:rsidP="008442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754467" w:rsidRPr="00DF7CCF" w:rsidRDefault="00754467" w:rsidP="008442A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Payments of sundry consumer accounts shall be as outlined in the approved Credit Control and Debt Collection Policy of the entity.</w:t>
      </w:r>
    </w:p>
    <w:p w:rsidR="00754467" w:rsidRPr="00DF7CCF" w:rsidRDefault="00754467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21F9A" w:rsidRPr="00DF7CCF" w:rsidRDefault="008442AC" w:rsidP="00821F9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F7CCF">
        <w:rPr>
          <w:rFonts w:ascii="Arial" w:hAnsi="Arial" w:cs="Arial"/>
          <w:color w:val="auto"/>
          <w:sz w:val="20"/>
          <w:szCs w:val="20"/>
        </w:rPr>
        <w:t xml:space="preserve">SECTION </w:t>
      </w:r>
      <w:r w:rsidR="00D4267F" w:rsidRPr="00DF7CCF">
        <w:rPr>
          <w:rFonts w:ascii="Arial" w:hAnsi="Arial" w:cs="Arial"/>
          <w:color w:val="auto"/>
          <w:sz w:val="20"/>
          <w:szCs w:val="20"/>
        </w:rPr>
        <w:t>8</w:t>
      </w:r>
      <w:r w:rsidRPr="00DF7CCF">
        <w:rPr>
          <w:rFonts w:ascii="Arial" w:hAnsi="Arial" w:cs="Arial"/>
          <w:color w:val="auto"/>
          <w:sz w:val="20"/>
          <w:szCs w:val="20"/>
        </w:rPr>
        <w:t>:</w:t>
      </w:r>
      <w:r w:rsidR="00754467" w:rsidRPr="00DF7CCF">
        <w:rPr>
          <w:rFonts w:ascii="Arial" w:hAnsi="Arial" w:cs="Arial"/>
          <w:color w:val="auto"/>
          <w:sz w:val="20"/>
          <w:szCs w:val="20"/>
        </w:rPr>
        <w:t xml:space="preserve"> </w:t>
      </w:r>
      <w:r w:rsidR="00821F9A" w:rsidRPr="00DF7CCF">
        <w:rPr>
          <w:rFonts w:ascii="Arial" w:hAnsi="Arial" w:cs="Arial"/>
          <w:color w:val="auto"/>
          <w:sz w:val="20"/>
          <w:szCs w:val="20"/>
        </w:rPr>
        <w:t xml:space="preserve">REVIEW </w:t>
      </w:r>
      <w:r w:rsidR="008B27F3">
        <w:rPr>
          <w:rFonts w:ascii="Arial" w:hAnsi="Arial" w:cs="Arial"/>
          <w:color w:val="auto"/>
          <w:sz w:val="20"/>
          <w:szCs w:val="20"/>
        </w:rPr>
        <w:t>PROCESS</w:t>
      </w:r>
    </w:p>
    <w:p w:rsidR="00821F9A" w:rsidRPr="00DF7CCF" w:rsidRDefault="00821F9A" w:rsidP="00821F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1F9A" w:rsidRPr="00DF7CCF" w:rsidRDefault="00821F9A" w:rsidP="00821F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This policy and underlying strategies will be reviewed at least annually, or as necessary, to ensure its continued application and relevance. </w:t>
      </w:r>
    </w:p>
    <w:p w:rsidR="00641349" w:rsidRPr="00DF7CCF" w:rsidRDefault="00641349" w:rsidP="00821F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1F9A" w:rsidRPr="00DF7CCF" w:rsidRDefault="00821F9A" w:rsidP="00821F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21F9A" w:rsidRPr="00DF7CCF" w:rsidSect="004B0E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797" w:header="720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02" w:rsidRDefault="00B33202" w:rsidP="00FF7BE3">
      <w:r>
        <w:separator/>
      </w:r>
    </w:p>
  </w:endnote>
  <w:endnote w:type="continuationSeparator" w:id="0">
    <w:p w:rsidR="00B33202" w:rsidRDefault="00B33202" w:rsidP="00FF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14130"/>
      <w:docPartObj>
        <w:docPartGallery w:val="Page Numbers (Bottom of Page)"/>
        <w:docPartUnique/>
      </w:docPartObj>
    </w:sdtPr>
    <w:sdtEndPr/>
    <w:sdtContent>
      <w:p w:rsidR="00422102" w:rsidRPr="00422102" w:rsidRDefault="00422102">
        <w:pPr>
          <w:pStyle w:val="Footer"/>
          <w:jc w:val="right"/>
          <w:rPr>
            <w:rFonts w:ascii="Arial" w:hAnsi="Arial" w:cs="Arial"/>
            <w:sz w:val="20"/>
            <w:szCs w:val="20"/>
            <w:u w:val="single"/>
          </w:rPr>
        </w:pPr>
        <w:r>
          <w:rPr>
            <w:rFonts w:ascii="Arial" w:hAnsi="Arial" w:cs="Arial"/>
            <w:sz w:val="20"/>
            <w:szCs w:val="20"/>
            <w:u w:val="single"/>
          </w:rPr>
          <w:tab/>
        </w:r>
        <w:r>
          <w:rPr>
            <w:rFonts w:ascii="Arial" w:hAnsi="Arial" w:cs="Arial"/>
            <w:sz w:val="20"/>
            <w:szCs w:val="20"/>
            <w:u w:val="single"/>
          </w:rPr>
          <w:tab/>
        </w:r>
      </w:p>
      <w:p w:rsidR="00C03BC5" w:rsidRPr="00097763" w:rsidRDefault="00C03BC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97763">
          <w:rPr>
            <w:rFonts w:ascii="Arial" w:hAnsi="Arial" w:cs="Arial"/>
            <w:sz w:val="20"/>
            <w:szCs w:val="20"/>
          </w:rPr>
          <w:t xml:space="preserve">Page | </w:t>
        </w:r>
        <w:r w:rsidRPr="00097763">
          <w:rPr>
            <w:rFonts w:ascii="Arial" w:hAnsi="Arial" w:cs="Arial"/>
            <w:sz w:val="20"/>
            <w:szCs w:val="20"/>
          </w:rPr>
          <w:fldChar w:fldCharType="begin"/>
        </w:r>
        <w:r w:rsidRPr="000977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97763">
          <w:rPr>
            <w:rFonts w:ascii="Arial" w:hAnsi="Arial" w:cs="Arial"/>
            <w:sz w:val="20"/>
            <w:szCs w:val="20"/>
          </w:rPr>
          <w:fldChar w:fldCharType="separate"/>
        </w:r>
        <w:r w:rsidR="00305D76">
          <w:rPr>
            <w:rFonts w:ascii="Arial" w:hAnsi="Arial" w:cs="Arial"/>
            <w:noProof/>
            <w:sz w:val="20"/>
            <w:szCs w:val="20"/>
          </w:rPr>
          <w:t>7</w:t>
        </w:r>
        <w:r w:rsidRPr="00097763">
          <w:rPr>
            <w:rFonts w:ascii="Arial" w:hAnsi="Arial" w:cs="Arial"/>
            <w:sz w:val="20"/>
            <w:szCs w:val="20"/>
          </w:rPr>
          <w:fldChar w:fldCharType="end"/>
        </w:r>
        <w:r w:rsidRPr="00097763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63792D" w:rsidRPr="00097763" w:rsidRDefault="0063792D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02" w:rsidRDefault="00B33202" w:rsidP="00FF7BE3">
      <w:r>
        <w:separator/>
      </w:r>
    </w:p>
  </w:footnote>
  <w:footnote w:type="continuationSeparator" w:id="0">
    <w:p w:rsidR="00B33202" w:rsidRDefault="00B33202" w:rsidP="00FF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2A" w:rsidRPr="00422102" w:rsidRDefault="00422102" w:rsidP="004B0E2A">
    <w:pPr>
      <w:pStyle w:val="Header"/>
      <w:rPr>
        <w:rFonts w:ascii="Arial" w:hAnsi="Arial" w:cs="Arial"/>
        <w:color w:val="000000" w:themeColor="text1"/>
        <w:sz w:val="28"/>
        <w:szCs w:val="28"/>
        <w:lang w:val="en-GB"/>
      </w:rPr>
    </w:pPr>
    <w:proofErr w:type="spellStart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>Centlec</w:t>
    </w:r>
    <w:proofErr w:type="spellEnd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 xml:space="preserve"> (</w:t>
    </w:r>
    <w:proofErr w:type="spellStart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>Soc</w:t>
    </w:r>
    <w:proofErr w:type="spellEnd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>) Ltd - Sundry Income Policy</w:t>
    </w:r>
  </w:p>
  <w:p w:rsidR="004B0E2A" w:rsidRPr="00422102" w:rsidRDefault="004B0E2A" w:rsidP="004B0E2A">
    <w:pPr>
      <w:pStyle w:val="Header"/>
      <w:rPr>
        <w:rFonts w:ascii="Arial" w:hAnsi="Arial" w:cs="Arial"/>
        <w:color w:val="000000" w:themeColor="text1"/>
        <w:u w:val="single"/>
        <w:lang w:val="en-GB"/>
      </w:rPr>
    </w:pPr>
    <w:r w:rsidRPr="00422102">
      <w:rPr>
        <w:rFonts w:ascii="Arial" w:hAnsi="Arial" w:cs="Arial"/>
        <w:color w:val="000000" w:themeColor="text1"/>
        <w:u w:val="single"/>
        <w:lang w:val="en-GB"/>
      </w:rPr>
      <w:tab/>
    </w:r>
    <w:r w:rsidRPr="00422102">
      <w:rPr>
        <w:rFonts w:ascii="Arial" w:hAnsi="Arial" w:cs="Arial"/>
        <w:color w:val="000000" w:themeColor="text1"/>
        <w:u w:val="single"/>
        <w:lang w:val="en-GB"/>
      </w:rPr>
      <w:tab/>
    </w:r>
  </w:p>
  <w:p w:rsidR="00762903" w:rsidRPr="00422102" w:rsidRDefault="00762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E59"/>
    <w:multiLevelType w:val="multilevel"/>
    <w:tmpl w:val="5410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C0020"/>
    <w:multiLevelType w:val="hybridMultilevel"/>
    <w:tmpl w:val="EFBA41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4AF2"/>
    <w:multiLevelType w:val="multilevel"/>
    <w:tmpl w:val="F30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381E"/>
    <w:multiLevelType w:val="hybridMultilevel"/>
    <w:tmpl w:val="0738325E"/>
    <w:lvl w:ilvl="0" w:tplc="5C662F6C">
      <w:start w:val="1"/>
      <w:numFmt w:val="bullet"/>
      <w:lvlText w:val="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C67FF"/>
    <w:multiLevelType w:val="hybridMultilevel"/>
    <w:tmpl w:val="C7E65F0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84C"/>
    <w:multiLevelType w:val="hybridMultilevel"/>
    <w:tmpl w:val="444ECF9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52CC0"/>
    <w:multiLevelType w:val="hybridMultilevel"/>
    <w:tmpl w:val="075C9AD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3303"/>
    <w:multiLevelType w:val="hybridMultilevel"/>
    <w:tmpl w:val="8B4C71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7884"/>
    <w:multiLevelType w:val="hybridMultilevel"/>
    <w:tmpl w:val="3E48CD4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5194"/>
    <w:multiLevelType w:val="multilevel"/>
    <w:tmpl w:val="B30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141CE"/>
    <w:multiLevelType w:val="multilevel"/>
    <w:tmpl w:val="5E4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516DC"/>
    <w:multiLevelType w:val="hybridMultilevel"/>
    <w:tmpl w:val="DC96E124"/>
    <w:lvl w:ilvl="0" w:tplc="1E68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C620C"/>
    <w:multiLevelType w:val="hybridMultilevel"/>
    <w:tmpl w:val="7A7C85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7142"/>
    <w:multiLevelType w:val="hybridMultilevel"/>
    <w:tmpl w:val="2B18B43C"/>
    <w:lvl w:ilvl="0" w:tplc="02CE03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1648"/>
    <w:multiLevelType w:val="hybridMultilevel"/>
    <w:tmpl w:val="A358F6F6"/>
    <w:lvl w:ilvl="0" w:tplc="C6C85E8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595782"/>
    <w:multiLevelType w:val="hybridMultilevel"/>
    <w:tmpl w:val="8F8EAA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7137D"/>
    <w:multiLevelType w:val="multilevel"/>
    <w:tmpl w:val="894A5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069B6"/>
    <w:multiLevelType w:val="hybridMultilevel"/>
    <w:tmpl w:val="598A5C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52BFA"/>
    <w:multiLevelType w:val="hybridMultilevel"/>
    <w:tmpl w:val="B2D4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07D88"/>
    <w:multiLevelType w:val="hybridMultilevel"/>
    <w:tmpl w:val="1696E99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E1094"/>
    <w:multiLevelType w:val="hybridMultilevel"/>
    <w:tmpl w:val="552E56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25E8"/>
    <w:multiLevelType w:val="hybridMultilevel"/>
    <w:tmpl w:val="A6CA00C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D509CF"/>
    <w:multiLevelType w:val="multilevel"/>
    <w:tmpl w:val="EA5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F5FE7"/>
    <w:multiLevelType w:val="multilevel"/>
    <w:tmpl w:val="C8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823C4"/>
    <w:multiLevelType w:val="multilevel"/>
    <w:tmpl w:val="8E5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547AF"/>
    <w:multiLevelType w:val="hybridMultilevel"/>
    <w:tmpl w:val="8F8EAA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51D7"/>
    <w:multiLevelType w:val="hybridMultilevel"/>
    <w:tmpl w:val="691CD5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6D55DB"/>
    <w:multiLevelType w:val="hybridMultilevel"/>
    <w:tmpl w:val="149C0F48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73E25"/>
    <w:multiLevelType w:val="multilevel"/>
    <w:tmpl w:val="AAB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34093"/>
    <w:multiLevelType w:val="hybridMultilevel"/>
    <w:tmpl w:val="EBEEA1E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07495"/>
    <w:multiLevelType w:val="hybridMultilevel"/>
    <w:tmpl w:val="82907160"/>
    <w:lvl w:ilvl="0" w:tplc="1EE227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310B3"/>
    <w:multiLevelType w:val="hybridMultilevel"/>
    <w:tmpl w:val="011AA472"/>
    <w:lvl w:ilvl="0" w:tplc="D2849A96">
      <w:start w:val="1"/>
      <w:numFmt w:val="lowerLetter"/>
      <w:lvlText w:val="%1)"/>
      <w:lvlJc w:val="left"/>
      <w:pPr>
        <w:ind w:left="720" w:hanging="360"/>
      </w:pPr>
    </w:lvl>
    <w:lvl w:ilvl="1" w:tplc="3FC02FF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60650"/>
    <w:multiLevelType w:val="multilevel"/>
    <w:tmpl w:val="99F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7207DD"/>
    <w:multiLevelType w:val="hybridMultilevel"/>
    <w:tmpl w:val="BF0E36F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7EB9"/>
    <w:multiLevelType w:val="hybridMultilevel"/>
    <w:tmpl w:val="11648A66"/>
    <w:lvl w:ilvl="0" w:tplc="CEBCBB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87177"/>
    <w:multiLevelType w:val="hybridMultilevel"/>
    <w:tmpl w:val="0558656E"/>
    <w:lvl w:ilvl="0" w:tplc="5C662F6C">
      <w:start w:val="1"/>
      <w:numFmt w:val="bullet"/>
      <w:lvlText w:val="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91137"/>
    <w:multiLevelType w:val="hybridMultilevel"/>
    <w:tmpl w:val="1D0805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56E9D"/>
    <w:multiLevelType w:val="hybridMultilevel"/>
    <w:tmpl w:val="8F8EAA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B61E7"/>
    <w:multiLevelType w:val="multilevel"/>
    <w:tmpl w:val="40D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195412"/>
    <w:multiLevelType w:val="hybridMultilevel"/>
    <w:tmpl w:val="96B64C52"/>
    <w:lvl w:ilvl="0" w:tplc="72A20BAE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620FF1"/>
    <w:multiLevelType w:val="hybridMultilevel"/>
    <w:tmpl w:val="6720C55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3A4D"/>
    <w:multiLevelType w:val="hybridMultilevel"/>
    <w:tmpl w:val="BA04E12C"/>
    <w:lvl w:ilvl="0" w:tplc="8E90B54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A56B9"/>
    <w:multiLevelType w:val="hybridMultilevel"/>
    <w:tmpl w:val="5EDCB60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60F7"/>
    <w:multiLevelType w:val="hybridMultilevel"/>
    <w:tmpl w:val="56B49BD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B5054"/>
    <w:multiLevelType w:val="hybridMultilevel"/>
    <w:tmpl w:val="C13467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D2FD2"/>
    <w:multiLevelType w:val="hybridMultilevel"/>
    <w:tmpl w:val="7D745C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2"/>
  </w:num>
  <w:num w:numId="4">
    <w:abstractNumId w:val="28"/>
  </w:num>
  <w:num w:numId="5">
    <w:abstractNumId w:val="22"/>
  </w:num>
  <w:num w:numId="6">
    <w:abstractNumId w:val="32"/>
  </w:num>
  <w:num w:numId="7">
    <w:abstractNumId w:val="0"/>
  </w:num>
  <w:num w:numId="8">
    <w:abstractNumId w:val="38"/>
  </w:num>
  <w:num w:numId="9">
    <w:abstractNumId w:val="45"/>
  </w:num>
  <w:num w:numId="10">
    <w:abstractNumId w:val="20"/>
  </w:num>
  <w:num w:numId="11">
    <w:abstractNumId w:val="36"/>
  </w:num>
  <w:num w:numId="12">
    <w:abstractNumId w:val="44"/>
  </w:num>
  <w:num w:numId="13">
    <w:abstractNumId w:val="18"/>
  </w:num>
  <w:num w:numId="14">
    <w:abstractNumId w:val="13"/>
  </w:num>
  <w:num w:numId="15">
    <w:abstractNumId w:val="7"/>
  </w:num>
  <w:num w:numId="16">
    <w:abstractNumId w:val="30"/>
  </w:num>
  <w:num w:numId="17">
    <w:abstractNumId w:val="29"/>
  </w:num>
  <w:num w:numId="18">
    <w:abstractNumId w:val="42"/>
  </w:num>
  <w:num w:numId="19">
    <w:abstractNumId w:val="21"/>
  </w:num>
  <w:num w:numId="20">
    <w:abstractNumId w:val="1"/>
  </w:num>
  <w:num w:numId="21">
    <w:abstractNumId w:val="41"/>
  </w:num>
  <w:num w:numId="22">
    <w:abstractNumId w:val="9"/>
  </w:num>
  <w:num w:numId="23">
    <w:abstractNumId w:val="25"/>
  </w:num>
  <w:num w:numId="24">
    <w:abstractNumId w:val="15"/>
  </w:num>
  <w:num w:numId="25">
    <w:abstractNumId w:val="37"/>
  </w:num>
  <w:num w:numId="26">
    <w:abstractNumId w:val="12"/>
  </w:num>
  <w:num w:numId="27">
    <w:abstractNumId w:val="16"/>
  </w:num>
  <w:num w:numId="28">
    <w:abstractNumId w:val="17"/>
  </w:num>
  <w:num w:numId="29">
    <w:abstractNumId w:val="11"/>
  </w:num>
  <w:num w:numId="30">
    <w:abstractNumId w:val="3"/>
  </w:num>
  <w:num w:numId="31">
    <w:abstractNumId w:val="4"/>
  </w:num>
  <w:num w:numId="32">
    <w:abstractNumId w:val="23"/>
  </w:num>
  <w:num w:numId="33">
    <w:abstractNumId w:val="10"/>
  </w:num>
  <w:num w:numId="34">
    <w:abstractNumId w:val="24"/>
  </w:num>
  <w:num w:numId="35">
    <w:abstractNumId w:val="19"/>
  </w:num>
  <w:num w:numId="36">
    <w:abstractNumId w:val="6"/>
  </w:num>
  <w:num w:numId="37">
    <w:abstractNumId w:val="26"/>
  </w:num>
  <w:num w:numId="38">
    <w:abstractNumId w:val="31"/>
  </w:num>
  <w:num w:numId="39">
    <w:abstractNumId w:val="34"/>
  </w:num>
  <w:num w:numId="40">
    <w:abstractNumId w:val="39"/>
  </w:num>
  <w:num w:numId="41">
    <w:abstractNumId w:val="14"/>
  </w:num>
  <w:num w:numId="42">
    <w:abstractNumId w:val="43"/>
  </w:num>
  <w:num w:numId="43">
    <w:abstractNumId w:val="8"/>
  </w:num>
  <w:num w:numId="44">
    <w:abstractNumId w:val="27"/>
  </w:num>
  <w:num w:numId="45">
    <w:abstractNumId w:val="40"/>
  </w:num>
  <w:num w:numId="46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23"/>
    <w:rsid w:val="00013BC9"/>
    <w:rsid w:val="00014B24"/>
    <w:rsid w:val="000159B7"/>
    <w:rsid w:val="00025B90"/>
    <w:rsid w:val="000273C1"/>
    <w:rsid w:val="000351E1"/>
    <w:rsid w:val="00044C41"/>
    <w:rsid w:val="00055E2E"/>
    <w:rsid w:val="00060077"/>
    <w:rsid w:val="000606DA"/>
    <w:rsid w:val="00060F87"/>
    <w:rsid w:val="00063E36"/>
    <w:rsid w:val="00072AA5"/>
    <w:rsid w:val="00073934"/>
    <w:rsid w:val="00094562"/>
    <w:rsid w:val="00094920"/>
    <w:rsid w:val="0009773A"/>
    <w:rsid w:val="00097763"/>
    <w:rsid w:val="000A0501"/>
    <w:rsid w:val="000B28E3"/>
    <w:rsid w:val="000B3C6B"/>
    <w:rsid w:val="000B3CE7"/>
    <w:rsid w:val="000B4D0B"/>
    <w:rsid w:val="000C0364"/>
    <w:rsid w:val="000C0CE4"/>
    <w:rsid w:val="000C250A"/>
    <w:rsid w:val="000C26D8"/>
    <w:rsid w:val="000C3CB0"/>
    <w:rsid w:val="000C5B6C"/>
    <w:rsid w:val="000C6E79"/>
    <w:rsid w:val="000D0815"/>
    <w:rsid w:val="000D3CE1"/>
    <w:rsid w:val="000D5847"/>
    <w:rsid w:val="000D7FF3"/>
    <w:rsid w:val="000E3691"/>
    <w:rsid w:val="000E3EE8"/>
    <w:rsid w:val="000E6202"/>
    <w:rsid w:val="000E6F89"/>
    <w:rsid w:val="000F42E9"/>
    <w:rsid w:val="000F555B"/>
    <w:rsid w:val="000F7F59"/>
    <w:rsid w:val="00104A17"/>
    <w:rsid w:val="00104B97"/>
    <w:rsid w:val="0011081B"/>
    <w:rsid w:val="001117CC"/>
    <w:rsid w:val="0011366B"/>
    <w:rsid w:val="00113FD8"/>
    <w:rsid w:val="0011789C"/>
    <w:rsid w:val="00131587"/>
    <w:rsid w:val="00132BA2"/>
    <w:rsid w:val="00134606"/>
    <w:rsid w:val="001433F0"/>
    <w:rsid w:val="00144166"/>
    <w:rsid w:val="00144220"/>
    <w:rsid w:val="00150C16"/>
    <w:rsid w:val="001547E1"/>
    <w:rsid w:val="001617BC"/>
    <w:rsid w:val="001653F1"/>
    <w:rsid w:val="0017699A"/>
    <w:rsid w:val="00177A51"/>
    <w:rsid w:val="00186627"/>
    <w:rsid w:val="001A00FE"/>
    <w:rsid w:val="001A0A32"/>
    <w:rsid w:val="001A3804"/>
    <w:rsid w:val="001A3BF7"/>
    <w:rsid w:val="001B5471"/>
    <w:rsid w:val="001C2D6E"/>
    <w:rsid w:val="001C3A31"/>
    <w:rsid w:val="001C6D93"/>
    <w:rsid w:val="001D3EA3"/>
    <w:rsid w:val="001D5A0D"/>
    <w:rsid w:val="001D68C8"/>
    <w:rsid w:val="001E10C1"/>
    <w:rsid w:val="001E2DD0"/>
    <w:rsid w:val="001E3913"/>
    <w:rsid w:val="001E3FAC"/>
    <w:rsid w:val="001E604D"/>
    <w:rsid w:val="001E61A5"/>
    <w:rsid w:val="001E740C"/>
    <w:rsid w:val="001E78F4"/>
    <w:rsid w:val="001F0834"/>
    <w:rsid w:val="001F08E6"/>
    <w:rsid w:val="001F20B1"/>
    <w:rsid w:val="001F4EA2"/>
    <w:rsid w:val="001F728B"/>
    <w:rsid w:val="00200296"/>
    <w:rsid w:val="00207C91"/>
    <w:rsid w:val="00222E2D"/>
    <w:rsid w:val="00227F12"/>
    <w:rsid w:val="002328BE"/>
    <w:rsid w:val="00234B79"/>
    <w:rsid w:val="00237923"/>
    <w:rsid w:val="0024548F"/>
    <w:rsid w:val="002457AB"/>
    <w:rsid w:val="00247DF6"/>
    <w:rsid w:val="002514A2"/>
    <w:rsid w:val="00252EC7"/>
    <w:rsid w:val="002562E0"/>
    <w:rsid w:val="00257971"/>
    <w:rsid w:val="002626B8"/>
    <w:rsid w:val="00262E2C"/>
    <w:rsid w:val="002630ED"/>
    <w:rsid w:val="00270F8F"/>
    <w:rsid w:val="00272953"/>
    <w:rsid w:val="00280DC6"/>
    <w:rsid w:val="00282379"/>
    <w:rsid w:val="002848C9"/>
    <w:rsid w:val="002874BE"/>
    <w:rsid w:val="002909AE"/>
    <w:rsid w:val="00293F19"/>
    <w:rsid w:val="002A0EFF"/>
    <w:rsid w:val="002A1391"/>
    <w:rsid w:val="002A1B2C"/>
    <w:rsid w:val="002A7A28"/>
    <w:rsid w:val="002B1BD8"/>
    <w:rsid w:val="002B2B38"/>
    <w:rsid w:val="002C2520"/>
    <w:rsid w:val="002D444A"/>
    <w:rsid w:val="002D4912"/>
    <w:rsid w:val="002D4EC7"/>
    <w:rsid w:val="002D6D8F"/>
    <w:rsid w:val="002E02AA"/>
    <w:rsid w:val="002E23EB"/>
    <w:rsid w:val="002E2710"/>
    <w:rsid w:val="002E53B1"/>
    <w:rsid w:val="002F1732"/>
    <w:rsid w:val="002F29AF"/>
    <w:rsid w:val="002F50C0"/>
    <w:rsid w:val="002F538E"/>
    <w:rsid w:val="00300B90"/>
    <w:rsid w:val="00301D0F"/>
    <w:rsid w:val="00305D76"/>
    <w:rsid w:val="00310B50"/>
    <w:rsid w:val="00311B8F"/>
    <w:rsid w:val="00312BAD"/>
    <w:rsid w:val="00317E2A"/>
    <w:rsid w:val="00323DEE"/>
    <w:rsid w:val="00327170"/>
    <w:rsid w:val="003278D9"/>
    <w:rsid w:val="00327B9B"/>
    <w:rsid w:val="00330042"/>
    <w:rsid w:val="0033422C"/>
    <w:rsid w:val="003348D7"/>
    <w:rsid w:val="00340C33"/>
    <w:rsid w:val="003411BA"/>
    <w:rsid w:val="00345322"/>
    <w:rsid w:val="00346810"/>
    <w:rsid w:val="00353C83"/>
    <w:rsid w:val="00362AF3"/>
    <w:rsid w:val="003649D5"/>
    <w:rsid w:val="003659E0"/>
    <w:rsid w:val="003660FC"/>
    <w:rsid w:val="00366A85"/>
    <w:rsid w:val="00367FD6"/>
    <w:rsid w:val="00373515"/>
    <w:rsid w:val="003807D2"/>
    <w:rsid w:val="00383B41"/>
    <w:rsid w:val="003852D7"/>
    <w:rsid w:val="00385FB1"/>
    <w:rsid w:val="00387CF8"/>
    <w:rsid w:val="003918C7"/>
    <w:rsid w:val="00394C1C"/>
    <w:rsid w:val="00394EE5"/>
    <w:rsid w:val="0039620E"/>
    <w:rsid w:val="003965C8"/>
    <w:rsid w:val="003A21A7"/>
    <w:rsid w:val="003A2432"/>
    <w:rsid w:val="003A368A"/>
    <w:rsid w:val="003A54AB"/>
    <w:rsid w:val="003A71D4"/>
    <w:rsid w:val="003B0528"/>
    <w:rsid w:val="003B4888"/>
    <w:rsid w:val="003B4ADC"/>
    <w:rsid w:val="003C01AA"/>
    <w:rsid w:val="003C22DE"/>
    <w:rsid w:val="003C6B81"/>
    <w:rsid w:val="003C6BA9"/>
    <w:rsid w:val="003D563D"/>
    <w:rsid w:val="003D5CFE"/>
    <w:rsid w:val="003D7259"/>
    <w:rsid w:val="003E1E75"/>
    <w:rsid w:val="003E399C"/>
    <w:rsid w:val="003E6285"/>
    <w:rsid w:val="003E66D7"/>
    <w:rsid w:val="003F1EEA"/>
    <w:rsid w:val="004020A1"/>
    <w:rsid w:val="00404ECB"/>
    <w:rsid w:val="0041213C"/>
    <w:rsid w:val="00415D7E"/>
    <w:rsid w:val="00415F00"/>
    <w:rsid w:val="0041778B"/>
    <w:rsid w:val="00422102"/>
    <w:rsid w:val="00425618"/>
    <w:rsid w:val="00431016"/>
    <w:rsid w:val="00435F7C"/>
    <w:rsid w:val="0043647C"/>
    <w:rsid w:val="004411F0"/>
    <w:rsid w:val="00445C72"/>
    <w:rsid w:val="00450A0A"/>
    <w:rsid w:val="004528D1"/>
    <w:rsid w:val="004553BD"/>
    <w:rsid w:val="0046447E"/>
    <w:rsid w:val="00467FEE"/>
    <w:rsid w:val="004774E4"/>
    <w:rsid w:val="004819A8"/>
    <w:rsid w:val="00483499"/>
    <w:rsid w:val="00487053"/>
    <w:rsid w:val="00487F5B"/>
    <w:rsid w:val="00490350"/>
    <w:rsid w:val="00495CC0"/>
    <w:rsid w:val="004A01F1"/>
    <w:rsid w:val="004A4A36"/>
    <w:rsid w:val="004A4B0C"/>
    <w:rsid w:val="004A6236"/>
    <w:rsid w:val="004A7AF8"/>
    <w:rsid w:val="004B0E2A"/>
    <w:rsid w:val="004B1B5C"/>
    <w:rsid w:val="004B3E58"/>
    <w:rsid w:val="004C1087"/>
    <w:rsid w:val="004C1C53"/>
    <w:rsid w:val="004C6B12"/>
    <w:rsid w:val="004C6DFE"/>
    <w:rsid w:val="004D771F"/>
    <w:rsid w:val="004E2564"/>
    <w:rsid w:val="004E3067"/>
    <w:rsid w:val="004E3179"/>
    <w:rsid w:val="004F3860"/>
    <w:rsid w:val="004F4204"/>
    <w:rsid w:val="004F4726"/>
    <w:rsid w:val="00506209"/>
    <w:rsid w:val="00512426"/>
    <w:rsid w:val="0052102E"/>
    <w:rsid w:val="00522F16"/>
    <w:rsid w:val="00524E9B"/>
    <w:rsid w:val="0053485D"/>
    <w:rsid w:val="005363E6"/>
    <w:rsid w:val="005377F1"/>
    <w:rsid w:val="00540493"/>
    <w:rsid w:val="00541F49"/>
    <w:rsid w:val="00542BCC"/>
    <w:rsid w:val="00543456"/>
    <w:rsid w:val="0056009A"/>
    <w:rsid w:val="00560265"/>
    <w:rsid w:val="00574E71"/>
    <w:rsid w:val="005770AC"/>
    <w:rsid w:val="0058463A"/>
    <w:rsid w:val="00586430"/>
    <w:rsid w:val="00586BE9"/>
    <w:rsid w:val="005931E4"/>
    <w:rsid w:val="005A0646"/>
    <w:rsid w:val="005A70FE"/>
    <w:rsid w:val="005B44B2"/>
    <w:rsid w:val="005B517A"/>
    <w:rsid w:val="005C07C9"/>
    <w:rsid w:val="005C0BBA"/>
    <w:rsid w:val="005C594F"/>
    <w:rsid w:val="005C5EC6"/>
    <w:rsid w:val="005D0941"/>
    <w:rsid w:val="005F048E"/>
    <w:rsid w:val="005F27A9"/>
    <w:rsid w:val="0060275F"/>
    <w:rsid w:val="006053B4"/>
    <w:rsid w:val="00610605"/>
    <w:rsid w:val="00611DE5"/>
    <w:rsid w:val="00613817"/>
    <w:rsid w:val="00615DDF"/>
    <w:rsid w:val="006169E7"/>
    <w:rsid w:val="00625A75"/>
    <w:rsid w:val="00633599"/>
    <w:rsid w:val="006371DA"/>
    <w:rsid w:val="006377E8"/>
    <w:rsid w:val="0063792D"/>
    <w:rsid w:val="00637E43"/>
    <w:rsid w:val="00641349"/>
    <w:rsid w:val="0064451E"/>
    <w:rsid w:val="00647606"/>
    <w:rsid w:val="006503EB"/>
    <w:rsid w:val="006503ED"/>
    <w:rsid w:val="00652CFA"/>
    <w:rsid w:val="00656A82"/>
    <w:rsid w:val="006607C3"/>
    <w:rsid w:val="006666E7"/>
    <w:rsid w:val="006704CB"/>
    <w:rsid w:val="00674B76"/>
    <w:rsid w:val="00676FBB"/>
    <w:rsid w:val="0068432D"/>
    <w:rsid w:val="00684D13"/>
    <w:rsid w:val="006852C8"/>
    <w:rsid w:val="006875CE"/>
    <w:rsid w:val="00687CAC"/>
    <w:rsid w:val="00697E34"/>
    <w:rsid w:val="006A0980"/>
    <w:rsid w:val="006B1BE2"/>
    <w:rsid w:val="006B3973"/>
    <w:rsid w:val="006C2125"/>
    <w:rsid w:val="006C6044"/>
    <w:rsid w:val="006C6131"/>
    <w:rsid w:val="006C6EF8"/>
    <w:rsid w:val="006D12ED"/>
    <w:rsid w:val="006D3B88"/>
    <w:rsid w:val="006D67D7"/>
    <w:rsid w:val="006E6DE6"/>
    <w:rsid w:val="006F01D7"/>
    <w:rsid w:val="006F42DA"/>
    <w:rsid w:val="0070108D"/>
    <w:rsid w:val="00704838"/>
    <w:rsid w:val="007071A2"/>
    <w:rsid w:val="00717B78"/>
    <w:rsid w:val="0072075A"/>
    <w:rsid w:val="00724AC2"/>
    <w:rsid w:val="0072774C"/>
    <w:rsid w:val="00731831"/>
    <w:rsid w:val="00731D04"/>
    <w:rsid w:val="007355DD"/>
    <w:rsid w:val="007438D1"/>
    <w:rsid w:val="00743C8A"/>
    <w:rsid w:val="00744ADB"/>
    <w:rsid w:val="00754467"/>
    <w:rsid w:val="00755272"/>
    <w:rsid w:val="00762903"/>
    <w:rsid w:val="00764DFA"/>
    <w:rsid w:val="00770BF7"/>
    <w:rsid w:val="00772F61"/>
    <w:rsid w:val="00781E11"/>
    <w:rsid w:val="007823C1"/>
    <w:rsid w:val="007832F6"/>
    <w:rsid w:val="00792BDF"/>
    <w:rsid w:val="00794BDF"/>
    <w:rsid w:val="007957B0"/>
    <w:rsid w:val="007A0A3A"/>
    <w:rsid w:val="007A3709"/>
    <w:rsid w:val="007A6B96"/>
    <w:rsid w:val="007A7A9E"/>
    <w:rsid w:val="007B30AB"/>
    <w:rsid w:val="007B56B2"/>
    <w:rsid w:val="007C1ECC"/>
    <w:rsid w:val="007C2BB0"/>
    <w:rsid w:val="007C343C"/>
    <w:rsid w:val="007C40E1"/>
    <w:rsid w:val="007E2CB5"/>
    <w:rsid w:val="007E39DC"/>
    <w:rsid w:val="007E3CD4"/>
    <w:rsid w:val="007E6C1D"/>
    <w:rsid w:val="007F1EE6"/>
    <w:rsid w:val="007F43DF"/>
    <w:rsid w:val="007F4816"/>
    <w:rsid w:val="007F5C5E"/>
    <w:rsid w:val="007F7030"/>
    <w:rsid w:val="008019C1"/>
    <w:rsid w:val="008038E5"/>
    <w:rsid w:val="00805F21"/>
    <w:rsid w:val="0080647F"/>
    <w:rsid w:val="00806ADA"/>
    <w:rsid w:val="00810E46"/>
    <w:rsid w:val="0081242F"/>
    <w:rsid w:val="00812E78"/>
    <w:rsid w:val="00816A55"/>
    <w:rsid w:val="0082089C"/>
    <w:rsid w:val="00821F9A"/>
    <w:rsid w:val="00822719"/>
    <w:rsid w:val="00822AEB"/>
    <w:rsid w:val="00823F56"/>
    <w:rsid w:val="00827C96"/>
    <w:rsid w:val="00834D80"/>
    <w:rsid w:val="00836FE7"/>
    <w:rsid w:val="00837C9D"/>
    <w:rsid w:val="008442AC"/>
    <w:rsid w:val="00845190"/>
    <w:rsid w:val="00853341"/>
    <w:rsid w:val="00855D92"/>
    <w:rsid w:val="00856490"/>
    <w:rsid w:val="00870AD6"/>
    <w:rsid w:val="0087298D"/>
    <w:rsid w:val="008742C2"/>
    <w:rsid w:val="008812E1"/>
    <w:rsid w:val="00882941"/>
    <w:rsid w:val="00887C38"/>
    <w:rsid w:val="0089327F"/>
    <w:rsid w:val="008A65E1"/>
    <w:rsid w:val="008B27F3"/>
    <w:rsid w:val="008C3458"/>
    <w:rsid w:val="008C79D6"/>
    <w:rsid w:val="008D1FC2"/>
    <w:rsid w:val="008D64C2"/>
    <w:rsid w:val="008E0D76"/>
    <w:rsid w:val="008E1D78"/>
    <w:rsid w:val="008E1FDE"/>
    <w:rsid w:val="008E4840"/>
    <w:rsid w:val="008E5729"/>
    <w:rsid w:val="008E5738"/>
    <w:rsid w:val="008E6F51"/>
    <w:rsid w:val="008F11F2"/>
    <w:rsid w:val="008F421B"/>
    <w:rsid w:val="00901B63"/>
    <w:rsid w:val="0090299B"/>
    <w:rsid w:val="00902F0D"/>
    <w:rsid w:val="00912017"/>
    <w:rsid w:val="00914225"/>
    <w:rsid w:val="00923E38"/>
    <w:rsid w:val="00925F9C"/>
    <w:rsid w:val="009302F4"/>
    <w:rsid w:val="0093113D"/>
    <w:rsid w:val="009341B6"/>
    <w:rsid w:val="009411BE"/>
    <w:rsid w:val="0094462B"/>
    <w:rsid w:val="00973543"/>
    <w:rsid w:val="00975950"/>
    <w:rsid w:val="00975EEC"/>
    <w:rsid w:val="00981457"/>
    <w:rsid w:val="00982AB7"/>
    <w:rsid w:val="009837B2"/>
    <w:rsid w:val="00986C63"/>
    <w:rsid w:val="0099244A"/>
    <w:rsid w:val="0099403A"/>
    <w:rsid w:val="009A2423"/>
    <w:rsid w:val="009B12DF"/>
    <w:rsid w:val="009B674A"/>
    <w:rsid w:val="009C4698"/>
    <w:rsid w:val="009C52DB"/>
    <w:rsid w:val="009C6900"/>
    <w:rsid w:val="009D4277"/>
    <w:rsid w:val="009D4697"/>
    <w:rsid w:val="009D7AE7"/>
    <w:rsid w:val="009E3CB4"/>
    <w:rsid w:val="009E4CF1"/>
    <w:rsid w:val="009E5CCF"/>
    <w:rsid w:val="009E7F01"/>
    <w:rsid w:val="009F0AB0"/>
    <w:rsid w:val="009F2983"/>
    <w:rsid w:val="009F6B3B"/>
    <w:rsid w:val="009F7357"/>
    <w:rsid w:val="00A003E7"/>
    <w:rsid w:val="00A01C31"/>
    <w:rsid w:val="00A03C64"/>
    <w:rsid w:val="00A04023"/>
    <w:rsid w:val="00A05E7E"/>
    <w:rsid w:val="00A12207"/>
    <w:rsid w:val="00A31BE3"/>
    <w:rsid w:val="00A34CAB"/>
    <w:rsid w:val="00A40A8D"/>
    <w:rsid w:val="00A4578D"/>
    <w:rsid w:val="00A45DC7"/>
    <w:rsid w:val="00A54733"/>
    <w:rsid w:val="00A566D2"/>
    <w:rsid w:val="00A6030E"/>
    <w:rsid w:val="00A60D32"/>
    <w:rsid w:val="00A61186"/>
    <w:rsid w:val="00A62ED6"/>
    <w:rsid w:val="00A64976"/>
    <w:rsid w:val="00A71718"/>
    <w:rsid w:val="00A71F0A"/>
    <w:rsid w:val="00A73703"/>
    <w:rsid w:val="00A7635F"/>
    <w:rsid w:val="00A85416"/>
    <w:rsid w:val="00A8656F"/>
    <w:rsid w:val="00A86707"/>
    <w:rsid w:val="00A9134E"/>
    <w:rsid w:val="00A92540"/>
    <w:rsid w:val="00A9494D"/>
    <w:rsid w:val="00AA0D32"/>
    <w:rsid w:val="00AA1C71"/>
    <w:rsid w:val="00AA2B14"/>
    <w:rsid w:val="00AA4104"/>
    <w:rsid w:val="00AA4123"/>
    <w:rsid w:val="00AA526B"/>
    <w:rsid w:val="00AA7CD2"/>
    <w:rsid w:val="00AB4C15"/>
    <w:rsid w:val="00AC02C0"/>
    <w:rsid w:val="00AC27FE"/>
    <w:rsid w:val="00AC2AAC"/>
    <w:rsid w:val="00AD389E"/>
    <w:rsid w:val="00AD44DC"/>
    <w:rsid w:val="00AE142A"/>
    <w:rsid w:val="00AE51FC"/>
    <w:rsid w:val="00AF2CE1"/>
    <w:rsid w:val="00AF46A7"/>
    <w:rsid w:val="00B022EF"/>
    <w:rsid w:val="00B032A4"/>
    <w:rsid w:val="00B04532"/>
    <w:rsid w:val="00B05158"/>
    <w:rsid w:val="00B06470"/>
    <w:rsid w:val="00B06FE6"/>
    <w:rsid w:val="00B104CC"/>
    <w:rsid w:val="00B167DF"/>
    <w:rsid w:val="00B16F55"/>
    <w:rsid w:val="00B324BA"/>
    <w:rsid w:val="00B33202"/>
    <w:rsid w:val="00B418EB"/>
    <w:rsid w:val="00B4378B"/>
    <w:rsid w:val="00B50948"/>
    <w:rsid w:val="00B50F50"/>
    <w:rsid w:val="00B62123"/>
    <w:rsid w:val="00B643A5"/>
    <w:rsid w:val="00B66DE4"/>
    <w:rsid w:val="00B70CC6"/>
    <w:rsid w:val="00B73991"/>
    <w:rsid w:val="00B83283"/>
    <w:rsid w:val="00B84558"/>
    <w:rsid w:val="00B8553D"/>
    <w:rsid w:val="00B85AFE"/>
    <w:rsid w:val="00B87FBC"/>
    <w:rsid w:val="00B901A0"/>
    <w:rsid w:val="00B93A58"/>
    <w:rsid w:val="00B956E6"/>
    <w:rsid w:val="00B97A94"/>
    <w:rsid w:val="00BA1EC2"/>
    <w:rsid w:val="00BA4550"/>
    <w:rsid w:val="00BA7F22"/>
    <w:rsid w:val="00BB03DE"/>
    <w:rsid w:val="00BB5CFF"/>
    <w:rsid w:val="00BD0F08"/>
    <w:rsid w:val="00BD173A"/>
    <w:rsid w:val="00BD4861"/>
    <w:rsid w:val="00BD7A3E"/>
    <w:rsid w:val="00BF2060"/>
    <w:rsid w:val="00BF6D33"/>
    <w:rsid w:val="00BF75D4"/>
    <w:rsid w:val="00C03BC5"/>
    <w:rsid w:val="00C04C3B"/>
    <w:rsid w:val="00C076E8"/>
    <w:rsid w:val="00C14C78"/>
    <w:rsid w:val="00C2411F"/>
    <w:rsid w:val="00C25DA6"/>
    <w:rsid w:val="00C31BF1"/>
    <w:rsid w:val="00C31D28"/>
    <w:rsid w:val="00C3338E"/>
    <w:rsid w:val="00C34956"/>
    <w:rsid w:val="00C356D8"/>
    <w:rsid w:val="00C366C5"/>
    <w:rsid w:val="00C36D59"/>
    <w:rsid w:val="00C378A6"/>
    <w:rsid w:val="00C428F0"/>
    <w:rsid w:val="00C437C1"/>
    <w:rsid w:val="00C44090"/>
    <w:rsid w:val="00C54A02"/>
    <w:rsid w:val="00C55BB9"/>
    <w:rsid w:val="00C568AD"/>
    <w:rsid w:val="00C63C5B"/>
    <w:rsid w:val="00C6696F"/>
    <w:rsid w:val="00C719D2"/>
    <w:rsid w:val="00C90347"/>
    <w:rsid w:val="00C911AE"/>
    <w:rsid w:val="00CA5E28"/>
    <w:rsid w:val="00CB5E30"/>
    <w:rsid w:val="00CB6F70"/>
    <w:rsid w:val="00CC614D"/>
    <w:rsid w:val="00CD0DAE"/>
    <w:rsid w:val="00CD32B6"/>
    <w:rsid w:val="00CD3BD5"/>
    <w:rsid w:val="00CD55C2"/>
    <w:rsid w:val="00CD7113"/>
    <w:rsid w:val="00CD72D7"/>
    <w:rsid w:val="00CD7E95"/>
    <w:rsid w:val="00CE4E24"/>
    <w:rsid w:val="00CF179D"/>
    <w:rsid w:val="00CF3F79"/>
    <w:rsid w:val="00CF5269"/>
    <w:rsid w:val="00CF61B6"/>
    <w:rsid w:val="00D01AD4"/>
    <w:rsid w:val="00D032D9"/>
    <w:rsid w:val="00D04DB3"/>
    <w:rsid w:val="00D06821"/>
    <w:rsid w:val="00D14AF1"/>
    <w:rsid w:val="00D26E51"/>
    <w:rsid w:val="00D26F25"/>
    <w:rsid w:val="00D326F5"/>
    <w:rsid w:val="00D3322C"/>
    <w:rsid w:val="00D35F61"/>
    <w:rsid w:val="00D4267F"/>
    <w:rsid w:val="00D4639F"/>
    <w:rsid w:val="00D475FD"/>
    <w:rsid w:val="00D500B4"/>
    <w:rsid w:val="00D50837"/>
    <w:rsid w:val="00D50A65"/>
    <w:rsid w:val="00D531F6"/>
    <w:rsid w:val="00D53962"/>
    <w:rsid w:val="00D547BA"/>
    <w:rsid w:val="00D57F83"/>
    <w:rsid w:val="00D60444"/>
    <w:rsid w:val="00D60B00"/>
    <w:rsid w:val="00D63C32"/>
    <w:rsid w:val="00D6584D"/>
    <w:rsid w:val="00D65B03"/>
    <w:rsid w:val="00D676BC"/>
    <w:rsid w:val="00D70C08"/>
    <w:rsid w:val="00D84B71"/>
    <w:rsid w:val="00D97002"/>
    <w:rsid w:val="00DA6EA0"/>
    <w:rsid w:val="00DB080D"/>
    <w:rsid w:val="00DB2F01"/>
    <w:rsid w:val="00DB65B4"/>
    <w:rsid w:val="00DB7B34"/>
    <w:rsid w:val="00DC4B45"/>
    <w:rsid w:val="00DC4E58"/>
    <w:rsid w:val="00DC7AED"/>
    <w:rsid w:val="00DD1342"/>
    <w:rsid w:val="00DD7172"/>
    <w:rsid w:val="00DE470B"/>
    <w:rsid w:val="00DF7CCF"/>
    <w:rsid w:val="00E05231"/>
    <w:rsid w:val="00E16673"/>
    <w:rsid w:val="00E239B5"/>
    <w:rsid w:val="00E24AE3"/>
    <w:rsid w:val="00E250D2"/>
    <w:rsid w:val="00E26415"/>
    <w:rsid w:val="00E26C29"/>
    <w:rsid w:val="00E314C1"/>
    <w:rsid w:val="00E33A08"/>
    <w:rsid w:val="00E43162"/>
    <w:rsid w:val="00E4488F"/>
    <w:rsid w:val="00E44EE3"/>
    <w:rsid w:val="00E4750E"/>
    <w:rsid w:val="00E528D8"/>
    <w:rsid w:val="00E620F8"/>
    <w:rsid w:val="00E621DA"/>
    <w:rsid w:val="00E63E2D"/>
    <w:rsid w:val="00E653FD"/>
    <w:rsid w:val="00E65D18"/>
    <w:rsid w:val="00E67138"/>
    <w:rsid w:val="00E749DA"/>
    <w:rsid w:val="00E808C3"/>
    <w:rsid w:val="00E83746"/>
    <w:rsid w:val="00E93E39"/>
    <w:rsid w:val="00E94AD6"/>
    <w:rsid w:val="00E96A18"/>
    <w:rsid w:val="00E96E1E"/>
    <w:rsid w:val="00EA1A8D"/>
    <w:rsid w:val="00EA2D9D"/>
    <w:rsid w:val="00EA2E4D"/>
    <w:rsid w:val="00EA6BA1"/>
    <w:rsid w:val="00EB10C8"/>
    <w:rsid w:val="00EB2050"/>
    <w:rsid w:val="00EB4118"/>
    <w:rsid w:val="00EB7295"/>
    <w:rsid w:val="00EC0276"/>
    <w:rsid w:val="00EC4A53"/>
    <w:rsid w:val="00ED7B6D"/>
    <w:rsid w:val="00F0068E"/>
    <w:rsid w:val="00F04531"/>
    <w:rsid w:val="00F05046"/>
    <w:rsid w:val="00F079EE"/>
    <w:rsid w:val="00F163CA"/>
    <w:rsid w:val="00F16674"/>
    <w:rsid w:val="00F21ED9"/>
    <w:rsid w:val="00F30E26"/>
    <w:rsid w:val="00F407C0"/>
    <w:rsid w:val="00F42B17"/>
    <w:rsid w:val="00F46E77"/>
    <w:rsid w:val="00F564E4"/>
    <w:rsid w:val="00F6798E"/>
    <w:rsid w:val="00F74636"/>
    <w:rsid w:val="00F750F8"/>
    <w:rsid w:val="00F8307F"/>
    <w:rsid w:val="00F9018A"/>
    <w:rsid w:val="00F973FA"/>
    <w:rsid w:val="00FA1AB4"/>
    <w:rsid w:val="00FA21C1"/>
    <w:rsid w:val="00FA442B"/>
    <w:rsid w:val="00FA4485"/>
    <w:rsid w:val="00FA77E2"/>
    <w:rsid w:val="00FB28B7"/>
    <w:rsid w:val="00FC12E7"/>
    <w:rsid w:val="00FC2B1F"/>
    <w:rsid w:val="00FC6A06"/>
    <w:rsid w:val="00FD23F2"/>
    <w:rsid w:val="00FD6C3C"/>
    <w:rsid w:val="00FE07A4"/>
    <w:rsid w:val="00FE29FB"/>
    <w:rsid w:val="00FE6E5C"/>
    <w:rsid w:val="00FE6F5E"/>
    <w:rsid w:val="00FF3008"/>
    <w:rsid w:val="00FF46B4"/>
    <w:rsid w:val="00FF500B"/>
    <w:rsid w:val="00FF5EE8"/>
    <w:rsid w:val="00FF603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461B57D-6DAD-4F31-9484-5006E61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5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C2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B4ADC"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C27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8656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8656F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8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5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44C41"/>
    <w:pPr>
      <w:spacing w:line="360" w:lineRule="auto"/>
      <w:jc w:val="center"/>
    </w:pPr>
    <w:rPr>
      <w:rFonts w:ascii="Arial" w:hAnsi="Arial" w:cs="Arial"/>
      <w:sz w:val="72"/>
    </w:rPr>
  </w:style>
  <w:style w:type="character" w:customStyle="1" w:styleId="BodyTextChar">
    <w:name w:val="Body Text Char"/>
    <w:basedOn w:val="DefaultParagraphFont"/>
    <w:link w:val="BodyText"/>
    <w:rsid w:val="00044C41"/>
    <w:rPr>
      <w:rFonts w:ascii="Arial" w:hAnsi="Arial" w:cs="Arial"/>
      <w:sz w:val="7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4ADC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D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F7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B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7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BE3"/>
    <w:rPr>
      <w:sz w:val="24"/>
      <w:szCs w:val="24"/>
    </w:rPr>
  </w:style>
  <w:style w:type="paragraph" w:styleId="FootnoteText">
    <w:name w:val="footnote text"/>
    <w:basedOn w:val="Normal"/>
    <w:link w:val="FootnoteTextChar"/>
    <w:rsid w:val="00FF7B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7BE3"/>
  </w:style>
  <w:style w:type="character" w:styleId="FootnoteReference">
    <w:name w:val="footnote reference"/>
    <w:basedOn w:val="DefaultParagraphFont"/>
    <w:rsid w:val="00FF7BE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AC2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AC27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A12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character" w:styleId="Strong">
    <w:name w:val="Strong"/>
    <w:basedOn w:val="DefaultParagraphFont"/>
    <w:uiPriority w:val="22"/>
    <w:qFormat/>
    <w:rsid w:val="00D53962"/>
    <w:rPr>
      <w:b/>
      <w:bCs/>
    </w:rPr>
  </w:style>
  <w:style w:type="paragraph" w:styleId="NormalWeb">
    <w:name w:val="Normal (Web)"/>
    <w:basedOn w:val="Normal"/>
    <w:uiPriority w:val="99"/>
    <w:unhideWhenUsed/>
    <w:rsid w:val="00A05E7E"/>
    <w:pPr>
      <w:spacing w:before="100" w:beforeAutospacing="1" w:after="100" w:afterAutospacing="1"/>
    </w:pPr>
    <w:rPr>
      <w:lang w:val="en-ZA" w:eastAsia="en-ZA"/>
    </w:rPr>
  </w:style>
  <w:style w:type="character" w:customStyle="1" w:styleId="st1">
    <w:name w:val="st1"/>
    <w:basedOn w:val="DefaultParagraphFont"/>
    <w:rsid w:val="00445C72"/>
  </w:style>
  <w:style w:type="character" w:styleId="CommentReference">
    <w:name w:val="annotation reference"/>
    <w:basedOn w:val="DefaultParagraphFont"/>
    <w:rsid w:val="00D500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0B4"/>
  </w:style>
  <w:style w:type="paragraph" w:styleId="CommentSubject">
    <w:name w:val="annotation subject"/>
    <w:basedOn w:val="CommentText"/>
    <w:next w:val="CommentText"/>
    <w:link w:val="CommentSubjectChar"/>
    <w:rsid w:val="00D5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DD0E0-3DFB-43D5-8398-BDBDB89E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CENTLEC (SOC) LTD</vt:lpstr>
    </vt:vector>
  </TitlesOfParts>
  <Company>Ngwathe Municipality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CENTLEC (SOC) LTD</dc:title>
  <dc:subject>Budget Policy</dc:subject>
  <dc:creator>2009/10</dc:creator>
  <cp:lastModifiedBy>Zandile Radebe</cp:lastModifiedBy>
  <cp:revision>2</cp:revision>
  <cp:lastPrinted>2020-03-26T07:15:00Z</cp:lastPrinted>
  <dcterms:created xsi:type="dcterms:W3CDTF">2020-05-27T09:51:00Z</dcterms:created>
  <dcterms:modified xsi:type="dcterms:W3CDTF">2020-05-27T09:51:00Z</dcterms:modified>
</cp:coreProperties>
</file>