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084AB" w14:textId="77777777" w:rsidR="005A6DBB" w:rsidRDefault="00F93099">
      <w:pPr>
        <w:spacing w:before="120" w:after="120"/>
        <w:rPr>
          <w:rFonts w:asciiTheme="minorHAnsi" w:hAnsiTheme="minorHAnsi" w:cs="Arial"/>
          <w:b/>
          <w:iCs/>
          <w:color w:val="002060"/>
          <w:szCs w:val="22"/>
        </w:rPr>
      </w:pPr>
      <w:r>
        <w:rPr>
          <w:b/>
          <w:noProof/>
          <w:szCs w:val="22"/>
          <w:lang w:val="en-ZA" w:eastAsia="en-ZA"/>
        </w:rPr>
        <mc:AlternateContent>
          <mc:Choice Requires="wps">
            <w:drawing>
              <wp:anchor distT="0" distB="0" distL="114300" distR="114300" simplePos="0" relativeHeight="251656192" behindDoc="0" locked="0" layoutInCell="1" allowOverlap="1" wp14:anchorId="40B43598" wp14:editId="5C78F144">
                <wp:simplePos x="0" y="0"/>
                <wp:positionH relativeFrom="column">
                  <wp:posOffset>-671830</wp:posOffset>
                </wp:positionH>
                <wp:positionV relativeFrom="paragraph">
                  <wp:posOffset>-157480</wp:posOffset>
                </wp:positionV>
                <wp:extent cx="137160" cy="13303250"/>
                <wp:effectExtent l="0" t="0" r="15240" b="127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303250"/>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w14:anchorId="3E67D27C" id="Rectangle 27" o:spid="_x0000_s1026" style="position:absolute;margin-left:-52.9pt;margin-top:-12.4pt;width:10.8pt;height:104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JABQIAAP8DAAAOAAAAZHJzL2Uyb0RvYy54bWysU9tu2zAMfR+wfxD0vviSpBcjTlGkyDCg&#10;Wwd0+wBFlm1hsqhRSpzs60cpaZpub8P0IIgidXh4SC3u9oNhO4Veg615Mck5U1ZCo21X8+/f1h9u&#10;OPNB2EYYsKrmB+X53fL9u8XoKlVCD6ZRyAjE+mp0Ne9DcFWWedmrQfgJOGXJ2QIOIpCJXdagGAl9&#10;MFmZ51fZCNg4BKm8p9uHo5MvE37bKhme2tarwEzNiVtIO6Z9E/dsuRBVh8L1Wp5oiH9gMQhtKekZ&#10;6kEEwbao/4IatETw0IaJhCGDttVSpRqomiL/o5rnXjiVaiFxvDvL5P8frPyye3ZfMVL37hHkD88s&#10;rHphO3WPCGOvREPpiihUNjpfnR9Ew9NTthk/Q0OtFdsASYN9i0MEpOrYPkl9OEut9oFJuiym18UV&#10;NUSSq5hO82k5T83IRPXy3KEPHxUMLB5qjtTLBC92jz5EOqJ6CUn0wehmrY1JBnablUG2E9T3dVqp&#10;AqryMsxYNtb8dl7OE/Ibn7+EyPMyJ7rHrG/CBh1ogI0ean6Tx3UKMvYkWNQojqOvNtAcSC+E4xTS&#10;r6FDD/iLs5EmsOb+51ag4sx8sqT5bTGbxZFNxmx+XZKBl57NpUdYSVA1D5wdj6twHPOtQ931lKlI&#10;NVq4pz61Oin4yupElqYsCXv6EXGML+0U9fpvl78BAAD//wMAUEsDBBQABgAIAAAAIQCOROVL4QAA&#10;AA0BAAAPAAAAZHJzL2Rvd25yZXYueG1sTI/BTsMwEETvSPyDtUjcUrtWCSXEqRBSJS5UIpSKoxsv&#10;SURsR7abhr/vcoLbrGY087bczHZgE4bYe6dguRDA0DXe9K5VsH/fZmtgMWln9OAdKvjBCJvq+qrU&#10;hfFn94ZTnVpGJS4WWkGX0lhwHpsOrY4LP6Ij78sHqxOdoeUm6DOV24FLIXJude9oodMjPnfYfNcn&#10;q2A6vLaf+a7O48th+5Hr/YMMaJS6vZmfHoElnNNfGH7xCR0qYjr6kzORDQqypbgj9kRKrkhQJFuv&#10;JLCjAinuhQRelfz/F9UFAAD//wMAUEsBAi0AFAAGAAgAAAAhALaDOJL+AAAA4QEAABMAAAAAAAAA&#10;AAAAAAAAAAAAAFtDb250ZW50X1R5cGVzXS54bWxQSwECLQAUAAYACAAAACEAOP0h/9YAAACUAQAA&#10;CwAAAAAAAAAAAAAAAAAvAQAAX3JlbHMvLnJlbHNQSwECLQAUAAYACAAAACEA3jmiQAUCAAD/AwAA&#10;DgAAAAAAAAAAAAAAAAAuAgAAZHJzL2Uyb0RvYy54bWxQSwECLQAUAAYACAAAACEAjkTlS+EAAAAN&#10;AQAADwAAAAAAAAAAAAAAAABfBAAAZHJzL2Rvd25yZXYueG1sUEsFBgAAAAAEAAQA8wAAAG0FAAAA&#10;AA==&#10;" strokecolor="#002060"/>
            </w:pict>
          </mc:Fallback>
        </mc:AlternateContent>
      </w:r>
      <w:r>
        <w:rPr>
          <w:b/>
          <w:noProof/>
          <w:szCs w:val="22"/>
          <w:lang w:val="en-ZA" w:eastAsia="en-ZA"/>
        </w:rPr>
        <mc:AlternateContent>
          <mc:Choice Requires="wps">
            <w:drawing>
              <wp:anchor distT="0" distB="0" distL="114300" distR="114300" simplePos="0" relativeHeight="251657216" behindDoc="0" locked="0" layoutInCell="1" allowOverlap="1" wp14:anchorId="26CCB0DF" wp14:editId="15AA1575">
                <wp:simplePos x="0" y="0"/>
                <wp:positionH relativeFrom="column">
                  <wp:posOffset>6308090</wp:posOffset>
                </wp:positionH>
                <wp:positionV relativeFrom="paragraph">
                  <wp:posOffset>-149860</wp:posOffset>
                </wp:positionV>
                <wp:extent cx="128905" cy="13244830"/>
                <wp:effectExtent l="0" t="0" r="23495" b="139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244830"/>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w14:anchorId="690E2456" id="Rectangle 28" o:spid="_x0000_s1026" style="position:absolute;margin-left:496.7pt;margin-top:-11.8pt;width:10.15pt;height:1042.9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K5BAIAAP8DAAAOAAAAZHJzL2Uyb0RvYy54bWysU9tu2zAMfR+wfxD0vvjSpEuMOEWRIsOA&#10;7gJ0+wBFlm1hsqhRSpzu60cpl6bb2zA9CKJIHR4eUsu7w2DYXqHXYGteTHLOlJXQaNvV/Pu3zbs5&#10;Zz4I2wgDVtX8WXl+t3r7Zjm6SpXQg2kUMgKxvhpdzfsQXJVlXvZqEH4CTllytoCDCGRilzUoRkIf&#10;TFbm+W02AjYOQSrv6fbh6OSrhN+2SoYvbetVYKbmxC2kHdO+jXu2WoqqQ+F6LU80xD+wGIS2lPQC&#10;9SCCYDvUf0ENWiJ4aMNEwpBB22qpUg1UTZH/Uc1TL5xKtZA43l1k8v8PVn7eP7mvGKl79wjyh2cW&#10;1r2wnbpHhLFXoqF0RRQqG52vLg+i4ekp246foKHWil2ApMGhxSECUnXskKR+vkitDoFJuizK+SKf&#10;cSbJVdyU0+n8JjUjE9X5uUMfPigYWDzUHKmXCV7sH32IdER1Dkn0wehmo41JBnbbtUG2F9T3TVqp&#10;AqryOsxYNtZ8MStnCfmVz19D5HmZ354JvgobdKABNnqo+TyP65TH2JNgUaM4jr7aQvNMeiEcp5B+&#10;DR16wF+cjTSBNfc/dwIVZ+ajJc0XxXQaRzYZ09n7kgy89myvPcJKgqp54Ox4XIfjmO8c6q6nTEWq&#10;0cI99anVScEXVieyNGVJ2NOPiGN8baeol3+7+g0AAP//AwBQSwMEFAAGAAgAAAAhALrxEVDiAAAA&#10;DQEAAA8AAABkcnMvZG93bnJldi54bWxMj1FLwzAUhd8F/0O4gm9bslSi7ZoOEQa+KFjn2GPWXNti&#10;k5Qk6+q/N3tyj5fzcc53y81sBjKhD72zElZLBgRt43RvWwm7z+3iCUiIymo1OIsSfjHAprq9KVWh&#10;3dl+4FTHlqQSGwoloYtxLCgNTYdGhaUb0abs23mjYjp9S7VX51RuBsoZE9So3qaFTo340mHzU5+M&#10;hGn/1h7Eey3C6377JdQu5x61lPd38/MaSMQ5/sNw0U/qUCWnoztZHcggIc+zh4RKWPBMALkQbJU9&#10;AjlK4ExwDrQq6fUX1R8AAAD//wMAUEsBAi0AFAAGAAgAAAAhALaDOJL+AAAA4QEAABMAAAAAAAAA&#10;AAAAAAAAAAAAAFtDb250ZW50X1R5cGVzXS54bWxQSwECLQAUAAYACAAAACEAOP0h/9YAAACUAQAA&#10;CwAAAAAAAAAAAAAAAAAvAQAAX3JlbHMvLnJlbHNQSwECLQAUAAYACAAAACEA2PHCuQQCAAD/AwAA&#10;DgAAAAAAAAAAAAAAAAAuAgAAZHJzL2Uyb0RvYy54bWxQSwECLQAUAAYACAAAACEAuvERUOIAAAAN&#10;AQAADwAAAAAAAAAAAAAAAABeBAAAZHJzL2Rvd25yZXYueG1sUEsFBgAAAAAEAAQA8wAAAG0FAAAA&#10;AA==&#10;" strokecolor="#002060"/>
            </w:pict>
          </mc:Fallback>
        </mc:AlternateContent>
      </w:r>
      <w:r>
        <w:rPr>
          <w:rFonts w:asciiTheme="minorHAnsi" w:hAnsiTheme="minorHAnsi" w:cs="Arial"/>
          <w:b/>
          <w:iCs/>
          <w:noProof/>
          <w:color w:val="002060"/>
          <w:szCs w:val="22"/>
          <w:lang w:val="en-ZA" w:eastAsia="en-ZA"/>
        </w:rPr>
        <mc:AlternateContent>
          <mc:Choice Requires="wps">
            <w:drawing>
              <wp:anchor distT="0" distB="0" distL="114300" distR="114300" simplePos="0" relativeHeight="251658240" behindDoc="0" locked="0" layoutInCell="0" allowOverlap="1" wp14:anchorId="3905F70E" wp14:editId="34E3ADDA">
                <wp:simplePos x="0" y="0"/>
                <wp:positionH relativeFrom="page">
                  <wp:posOffset>-271780</wp:posOffset>
                </wp:positionH>
                <wp:positionV relativeFrom="page">
                  <wp:posOffset>-10795</wp:posOffset>
                </wp:positionV>
                <wp:extent cx="7938770" cy="808990"/>
                <wp:effectExtent l="0" t="0" r="5080"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770" cy="808990"/>
                        </a:xfrm>
                        <a:prstGeom prst="rect">
                          <a:avLst/>
                        </a:prstGeom>
                        <a:solidFill>
                          <a:srgbClr val="002060"/>
                        </a:solidFill>
                        <a:ln>
                          <a:noFill/>
                        </a:ln>
                      </wps:spPr>
                      <wps:txbx>
                        <w:txbxContent>
                          <w:p w14:paraId="00CD9D70" w14:textId="77777777" w:rsidR="005A6DBB" w:rsidRDefault="005A6DBB">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905F70E" id="Rectangle 3" o:spid="_x0000_s1026" style="position:absolute;left:0;text-align:left;margin-left:-21.4pt;margin-top:-.85pt;width:625.1pt;height:63.7pt;z-index:25165824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vq7gEAAMADAAAOAAAAZHJzL2Uyb0RvYy54bWysU8tu2zAQvBfoPxC815JdN7YFy0HgIEWB&#10;tCmQ9gMoipKIUlx2SVtyv75L+hGjvQW5ELtccrgzO1zfjr1he4Vegy35dJJzpqyEWtu25D9/PHxY&#10;cuaDsLUwYFXJD8rz2837d+vBFWoGHZhaISMQ64vBlbwLwRVZ5mWneuEn4JSlYgPYi0AptlmNYiD0&#10;3mSzPL/JBsDaIUjlPe3eH4t8k/CbRsnw1DReBWZKTr2FtGJaq7hmm7UoWhSu0/LUhnhFF73Qlh69&#10;QN2LINgO9X9QvZYIHpowkdBn0DRaqsSB2Ezzf9g8d8KpxIXE8e4ik387WPlt/+y+Y2zdu0eQvzyz&#10;sO2EbdUdIgydEjU9N41CZYPzxeVCTDxdZdXwFWoardgFSBqMDfYRkNixMUl9uEitxsAkbS5WH5eL&#10;BU1EUm2ZL1erNItMFOfbDn34rKBnMSg50igTutg/+hC7EcX5SOoejK4ftDEpwbbaGmR7Eceez/Kb&#10;M7q/PmZsPGwhXjsixp1EMzKLJvJFGKuRijGsoD4QYYSjjcj2FHSAfzgbyEIl9793AhVn5osl0VbT&#10;+Tx6LiXzT4sZJXhdqa4rwkqCKnng7Bhuw9GnO4e67eilaeJv4Y6EbnTS4KWrU99kkyTNydLRh9d5&#10;OvXy8TZ/AQAA//8DAFBLAwQUAAYACAAAACEAIZf2ZOAAAAALAQAADwAAAGRycy9kb3ducmV2Lnht&#10;bEyPwU7DMBBE70j8g7VI3FonoSQoxKmqCjggtVILH7CNlyQQr6PYbQJfj3OC26xmNPO2WE+mExca&#10;XGtZQbyMQBBXVrdcK3h/e148gHAeWWNnmRR8k4N1eX1VYK7tyAe6HH0tQgm7HBU03ve5lK5qyKBb&#10;2p44eB92MOjDOdRSDziGctPJJIpSabDlsNBgT9uGqq/j2SgYd3fxS5p+VvVuw/3T/vC6jX5Qqdub&#10;afMIwtPk/8Iw4wd0KAPTyZ5ZO9EpWKySgO6DiDMQcyCJshWI06zuM5BlIf//UP4CAAD//wMAUEsB&#10;Ai0AFAAGAAgAAAAhALaDOJL+AAAA4QEAABMAAAAAAAAAAAAAAAAAAAAAAFtDb250ZW50X1R5cGVz&#10;XS54bWxQSwECLQAUAAYACAAAACEAOP0h/9YAAACUAQAACwAAAAAAAAAAAAAAAAAvAQAAX3JlbHMv&#10;LnJlbHNQSwECLQAUAAYACAAAACEAzsTL6u4BAADAAwAADgAAAAAAAAAAAAAAAAAuAgAAZHJzL2Uy&#10;b0RvYy54bWxQSwECLQAUAAYACAAAACEAIZf2ZOAAAAALAQAADwAAAAAAAAAAAAAAAABIBAAAZHJz&#10;L2Rvd25yZXYueG1sUEsFBgAAAAAEAAQA8wAAAFUFAAAAAA==&#10;" o:allowincell="f" fillcolor="#002060" stroked="f">
                <v:textbox>
                  <w:txbxContent>
                    <w:p w14:paraId="00CD9D70" w14:textId="77777777" w:rsidR="005A6DBB" w:rsidRDefault="005A6DBB">
                      <w:pPr>
                        <w:jc w:val="center"/>
                      </w:pPr>
                    </w:p>
                  </w:txbxContent>
                </v:textbox>
                <w10:wrap anchorx="page" anchory="page"/>
              </v:rect>
            </w:pict>
          </mc:Fallback>
        </mc:AlternateContent>
      </w:r>
    </w:p>
    <w:tbl>
      <w:tblPr>
        <w:tblStyle w:val="TableGrid"/>
        <w:tblpPr w:leftFromText="180" w:rightFromText="180" w:vertAnchor="page" w:horzAnchor="margin" w:tblpY="17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A6DBB" w14:paraId="67C69FB4" w14:textId="77777777">
        <w:tc>
          <w:tcPr>
            <w:tcW w:w="9071" w:type="dxa"/>
          </w:tcPr>
          <w:p w14:paraId="6B1D8D67" w14:textId="77777777" w:rsidR="005A6DBB" w:rsidRDefault="00F93099">
            <w:pPr>
              <w:spacing w:before="120" w:after="120"/>
              <w:jc w:val="center"/>
              <w:rPr>
                <w:sz w:val="24"/>
                <w:lang w:eastAsia="en-ZA"/>
              </w:rPr>
            </w:pPr>
            <w:r>
              <w:rPr>
                <w:noProof/>
                <w:color w:val="0000FF"/>
                <w:sz w:val="20"/>
                <w:lang w:val="en-ZA" w:eastAsia="en-ZA"/>
              </w:rPr>
              <w:drawing>
                <wp:inline distT="0" distB="0" distL="0" distR="0" wp14:anchorId="1D914EE7" wp14:editId="6A8CAB10">
                  <wp:extent cx="3672840" cy="2476500"/>
                  <wp:effectExtent l="0" t="0" r="3810" b="0"/>
                  <wp:docPr id="34" name="Picture 34" descr="Image result for manga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result for manga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72840" cy="2476500"/>
                          </a:xfrm>
                          <a:prstGeom prst="rect">
                            <a:avLst/>
                          </a:prstGeom>
                          <a:noFill/>
                          <a:ln>
                            <a:noFill/>
                          </a:ln>
                        </pic:spPr>
                      </pic:pic>
                    </a:graphicData>
                  </a:graphic>
                </wp:inline>
              </w:drawing>
            </w:r>
          </w:p>
        </w:tc>
      </w:tr>
    </w:tbl>
    <w:p w14:paraId="49E9A85D" w14:textId="77777777" w:rsidR="005A6DBB" w:rsidRDefault="00F93099">
      <w:pPr>
        <w:pStyle w:val="NoSpacing"/>
        <w:spacing w:before="120" w:after="120"/>
        <w:jc w:val="center"/>
        <w:rPr>
          <w:rFonts w:asciiTheme="minorHAnsi" w:eastAsia="Times New Roman" w:hAnsiTheme="minorHAnsi" w:cs="Arial"/>
          <w:b/>
          <w:iCs/>
          <w:color w:val="002060"/>
          <w:sz w:val="44"/>
          <w:szCs w:val="44"/>
          <w:lang w:val="en-GB" w:eastAsia="en-US"/>
        </w:rPr>
      </w:pPr>
      <w:bookmarkStart w:id="0" w:name="_Hlk116895389"/>
      <w:bookmarkStart w:id="1" w:name="_Hlk121317131"/>
      <w:r>
        <w:rPr>
          <w:rFonts w:asciiTheme="minorHAnsi" w:eastAsia="Times New Roman" w:hAnsiTheme="minorHAnsi" w:cs="Arial"/>
          <w:b/>
          <w:iCs/>
          <w:color w:val="002060"/>
          <w:sz w:val="44"/>
          <w:szCs w:val="44"/>
          <w:lang w:val="en-GB" w:eastAsia="en-US"/>
        </w:rPr>
        <w:t xml:space="preserve">MANGAUNG METROPOLITAN MUNICIPALITY </w:t>
      </w:r>
    </w:p>
    <w:p w14:paraId="23ECC7D0" w14:textId="77777777" w:rsidR="005A6DBB" w:rsidRDefault="00F93099">
      <w:pPr>
        <w:pStyle w:val="NoSpacing"/>
        <w:spacing w:before="120" w:after="120"/>
        <w:jc w:val="center"/>
        <w:rPr>
          <w:rFonts w:eastAsia="Times New Roman" w:cs="Arial"/>
          <w:b/>
          <w:bCs/>
          <w:iCs/>
          <w:color w:val="002060"/>
          <w:sz w:val="36"/>
          <w:szCs w:val="36"/>
          <w:lang w:val="en-GB" w:eastAsia="en-US"/>
        </w:rPr>
      </w:pPr>
      <w:bookmarkStart w:id="2" w:name="_Hlk113350351"/>
      <w:bookmarkEnd w:id="0"/>
      <w:bookmarkEnd w:id="1"/>
      <w:r>
        <w:rPr>
          <w:rFonts w:eastAsia="Times New Roman" w:cs="Arial"/>
          <w:b/>
          <w:bCs/>
          <w:color w:val="002060"/>
          <w:sz w:val="36"/>
          <w:szCs w:val="36"/>
          <w:lang w:eastAsia="en-US"/>
        </w:rPr>
        <w:t>DRAFT STATUS QUO ASSESSMENT</w:t>
      </w:r>
    </w:p>
    <w:bookmarkEnd w:id="2"/>
    <w:p w14:paraId="4DBA29BD" w14:textId="77777777" w:rsidR="005A6DBB" w:rsidRDefault="00F93099">
      <w:pPr>
        <w:pStyle w:val="NoSpacing"/>
        <w:spacing w:before="120" w:after="120"/>
        <w:jc w:val="center"/>
        <w:rPr>
          <w:rFonts w:cs="Arial"/>
          <w:b/>
          <w:bCs/>
          <w:sz w:val="32"/>
          <w:szCs w:val="32"/>
        </w:rPr>
      </w:pPr>
      <w:r>
        <w:rPr>
          <w:rFonts w:cs="Arial"/>
          <w:b/>
          <w:bCs/>
          <w:sz w:val="32"/>
          <w:szCs w:val="32"/>
        </w:rPr>
        <w:t>JUNE 2023</w:t>
      </w:r>
    </w:p>
    <w:p w14:paraId="79E013D2" w14:textId="77777777" w:rsidR="005A6DBB" w:rsidRDefault="005A6DBB">
      <w:pPr>
        <w:pStyle w:val="NoSpacing"/>
        <w:spacing w:before="120" w:after="120"/>
        <w:jc w:val="center"/>
        <w:rPr>
          <w:rFonts w:cs="Arial"/>
          <w:b/>
          <w:bCs/>
          <w:sz w:val="24"/>
          <w:szCs w:val="24"/>
        </w:rPr>
      </w:pPr>
    </w:p>
    <w:p w14:paraId="2465492A" w14:textId="77777777" w:rsidR="005A6DBB" w:rsidRDefault="005A6DBB">
      <w:pPr>
        <w:pStyle w:val="NoSpacing"/>
        <w:spacing w:before="120" w:after="120"/>
        <w:jc w:val="center"/>
        <w:rPr>
          <w:rFonts w:cs="Arial"/>
          <w:b/>
          <w:bCs/>
          <w:sz w:val="24"/>
          <w:szCs w:val="24"/>
        </w:rPr>
      </w:pPr>
    </w:p>
    <w:p w14:paraId="5CB49D0F" w14:textId="77777777" w:rsidR="005A6DBB" w:rsidRDefault="005A6DBB">
      <w:pPr>
        <w:pStyle w:val="NoSpacing"/>
        <w:spacing w:before="120" w:after="120"/>
        <w:jc w:val="center"/>
        <w:rPr>
          <w:rFonts w:cs="Arial"/>
          <w:b/>
          <w:bCs/>
          <w:sz w:val="24"/>
          <w:szCs w:val="24"/>
        </w:rPr>
      </w:pPr>
    </w:p>
    <w:p w14:paraId="17FA2942" w14:textId="77777777" w:rsidR="005A6DBB" w:rsidRDefault="005A6DBB">
      <w:pPr>
        <w:pStyle w:val="NoSpacing"/>
        <w:spacing w:before="120" w:after="120"/>
        <w:jc w:val="center"/>
        <w:rPr>
          <w:rFonts w:cs="Arial"/>
          <w:b/>
          <w:bCs/>
          <w:sz w:val="24"/>
          <w:szCs w:val="24"/>
        </w:rPr>
      </w:pPr>
    </w:p>
    <w:p w14:paraId="730D9686" w14:textId="77777777" w:rsidR="005A6DBB" w:rsidRDefault="005A6DBB">
      <w:pPr>
        <w:pStyle w:val="NoSpacing"/>
        <w:spacing w:before="120" w:after="120"/>
        <w:jc w:val="center"/>
        <w:rPr>
          <w:rFonts w:cs="Arial"/>
          <w:b/>
          <w:bCs/>
          <w:sz w:val="24"/>
          <w:szCs w:val="24"/>
        </w:rPr>
      </w:pPr>
    </w:p>
    <w:p w14:paraId="6B5492CE" w14:textId="77777777" w:rsidR="005A6DBB" w:rsidRDefault="005A6DBB">
      <w:pPr>
        <w:pStyle w:val="NoSpacing"/>
        <w:spacing w:before="120" w:after="120"/>
        <w:jc w:val="center"/>
        <w:rPr>
          <w:rFonts w:cs="Arial"/>
          <w:b/>
          <w:bCs/>
          <w:sz w:val="24"/>
          <w:szCs w:val="24"/>
        </w:rPr>
      </w:pPr>
    </w:p>
    <w:tbl>
      <w:tblPr>
        <w:tblW w:w="0" w:type="auto"/>
        <w:jc w:val="center"/>
        <w:tblLook w:val="04A0" w:firstRow="1" w:lastRow="0" w:firstColumn="1" w:lastColumn="0" w:noHBand="0" w:noVBand="1"/>
      </w:tblPr>
      <w:tblGrid>
        <w:gridCol w:w="8004"/>
      </w:tblGrid>
      <w:tr w:rsidR="005A6DBB" w14:paraId="1E0A103F" w14:textId="77777777">
        <w:trPr>
          <w:trHeight w:val="800"/>
          <w:jc w:val="center"/>
        </w:trPr>
        <w:tc>
          <w:tcPr>
            <w:tcW w:w="8004" w:type="dxa"/>
            <w:shd w:val="clear" w:color="auto" w:fill="auto"/>
            <w:vAlign w:val="center"/>
          </w:tcPr>
          <w:p w14:paraId="2690DA0E" w14:textId="77777777" w:rsidR="005A6DBB" w:rsidRDefault="00F93099">
            <w:pPr>
              <w:spacing w:before="120" w:after="120"/>
              <w:jc w:val="center"/>
              <w:rPr>
                <w:rFonts w:cs="Arial"/>
                <w:b/>
              </w:rPr>
            </w:pPr>
            <w:r>
              <w:rPr>
                <w:rFonts w:cs="Arial"/>
                <w:b/>
                <w:noProof/>
                <w:lang w:val="en-ZA" w:eastAsia="en-ZA"/>
              </w:rPr>
              <w:drawing>
                <wp:inline distT="0" distB="0" distL="0" distR="0" wp14:anchorId="318B7907" wp14:editId="4EAED0D1">
                  <wp:extent cx="2209800" cy="1112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09800" cy="1112520"/>
                          </a:xfrm>
                          <a:prstGeom prst="rect">
                            <a:avLst/>
                          </a:prstGeom>
                          <a:noFill/>
                          <a:ln>
                            <a:noFill/>
                          </a:ln>
                        </pic:spPr>
                      </pic:pic>
                    </a:graphicData>
                  </a:graphic>
                </wp:inline>
              </w:drawing>
            </w:r>
            <w:r>
              <w:rPr>
                <w:rFonts w:cs="Arial"/>
                <w:b/>
              </w:rPr>
              <w:t xml:space="preserve"> </w:t>
            </w:r>
            <w:r>
              <w:rPr>
                <w:rFonts w:cs="Arial"/>
                <w:b/>
                <w:noProof/>
                <w:lang w:val="en-ZA" w:eastAsia="en-ZA"/>
              </w:rPr>
              <w:drawing>
                <wp:inline distT="0" distB="0" distL="0" distR="0" wp14:anchorId="238DC283" wp14:editId="106BD43D">
                  <wp:extent cx="1729740" cy="1059180"/>
                  <wp:effectExtent l="0" t="0" r="381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29740" cy="1059180"/>
                          </a:xfrm>
                          <a:prstGeom prst="rect">
                            <a:avLst/>
                          </a:prstGeom>
                          <a:noFill/>
                          <a:ln>
                            <a:noFill/>
                          </a:ln>
                        </pic:spPr>
                      </pic:pic>
                    </a:graphicData>
                  </a:graphic>
                </wp:inline>
              </w:drawing>
            </w:r>
          </w:p>
        </w:tc>
      </w:tr>
    </w:tbl>
    <w:p w14:paraId="031E0D78" w14:textId="77777777" w:rsidR="005A6DBB" w:rsidRDefault="005A6DBB"/>
    <w:p w14:paraId="32F75A22" w14:textId="77777777" w:rsidR="005A6DBB" w:rsidRDefault="005A6DBB"/>
    <w:p w14:paraId="497C01E1" w14:textId="77777777" w:rsidR="005A6DBB" w:rsidRDefault="00F93099">
      <w:pPr>
        <w:spacing w:before="120" w:after="120"/>
        <w:rPr>
          <w:b/>
        </w:rPr>
        <w:sectPr w:rsidR="005A6DBB">
          <w:footerReference w:type="default" r:id="rId16"/>
          <w:headerReference w:type="first" r:id="rId17"/>
          <w:footerReference w:type="first" r:id="rId18"/>
          <w:pgSz w:w="11907" w:h="16840"/>
          <w:pgMar w:top="1418" w:right="1418" w:bottom="1418" w:left="1418" w:header="709" w:footer="709" w:gutter="0"/>
          <w:cols w:space="708"/>
          <w:docGrid w:linePitch="360"/>
        </w:sectPr>
      </w:pPr>
      <w:r>
        <w:rPr>
          <w:noProof/>
          <w:color w:val="FF0000"/>
          <w:lang w:val="en-ZA" w:eastAsia="en-ZA"/>
        </w:rPr>
        <mc:AlternateContent>
          <mc:Choice Requires="wps">
            <w:drawing>
              <wp:anchor distT="0" distB="0" distL="114300" distR="114300" simplePos="0" relativeHeight="251659264" behindDoc="0" locked="0" layoutInCell="0" allowOverlap="1" wp14:anchorId="13B9E7ED" wp14:editId="5E0338AD">
                <wp:simplePos x="0" y="0"/>
                <wp:positionH relativeFrom="page">
                  <wp:posOffset>-74930</wp:posOffset>
                </wp:positionH>
                <wp:positionV relativeFrom="page">
                  <wp:posOffset>9947910</wp:posOffset>
                </wp:positionV>
                <wp:extent cx="7938770" cy="808990"/>
                <wp:effectExtent l="0" t="0" r="5080" b="88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770" cy="808990"/>
                        </a:xfrm>
                        <a:prstGeom prst="rect">
                          <a:avLst/>
                        </a:prstGeom>
                        <a:solidFill>
                          <a:srgbClr val="002060"/>
                        </a:solidFill>
                        <a:ln>
                          <a:noFill/>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714AC7" id="Rectangle 21" o:spid="_x0000_s1026" style="position:absolute;margin-left:-5.9pt;margin-top:783.3pt;width:625.1pt;height:63.7pt;z-index:25165926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K96AEAALUDAAAOAAAAZHJzL2Uyb0RvYy54bWysU8Fu2zAMvQ/YPwi6L7azrEmMOEWRosOA&#10;bh3Q7QMUWbaFyaJGKXGyrx8lJ2mw3YpeBFGknvgen1a3h96wvUKvwVa8mOScKSuh1rat+M8fDx8W&#10;nPkgbC0MWFXxo/L8dv3+3WpwpZpCB6ZWyAjE+nJwFe9CcGWWedmpXvgJOGUp2QD2IlCIbVajGAi9&#10;N9k0z2+yAbB2CFJ5T6f3Y5KvE37TKBmemsarwEzFqbeQVkzrNq7ZeiXKFoXrtDy1IV7RRS+0pUcv&#10;UPciCLZD/R9UryWChyZMJPQZNI2WKnEgNkX+D5vnTjiVuJA43l1k8m8HK7/tn913jK179wjyl2cW&#10;Np2wrbpDhKFToqbniihUNjhfXi7EwNNVth2+Qk2jFbsASYNDg30EJHbskKQ+XqRWh8AkHc6XHxfz&#10;OU1EUm6RL5bLNItMlOfbDn34rKBncVNxpFEmdLF/9CF2I8pzSeoejK4ftDEpwHa7Mcj2Io49n+Y3&#10;Z3R/XWZsLLYQr42I8STRjMyiiXy5hfpILBFG75DXadMB/uFsIN9U3P/eCVScmS+WlFoWs1k0Wgpm&#10;n+ZTCvA6s73OCCsJquKBs3G7CaM5dw5129FLRSJt4Y7UbXQi/tLVqVnyRtLj5ONovus4Vb38tvVf&#10;AAAA//8DAFBLAwQUAAYACAAAACEAM757puMAAAAOAQAADwAAAGRycy9kb3ducmV2LnhtbEyPwU7D&#10;MBBE70j8g7VI3FonbbHaNE5VVcABqUgtfIAbL0kgXkex2wS+nu0JbrOa0czbfDO6VlywD40nDek0&#10;AYFUettQpeH97WmyBBGiIWtaT6jhGwNsitub3GTWD3TAyzFWgksoZEZDHWOXSRnKGp0JU98hsffh&#10;e2cin30lbW8GLnetnCWJks40xAu16XBXY/l1PDsNw36ePiv1WVb7LXWPr4eXXfJjtL6/G7drEBHH&#10;+BeGKz6jQ8FMJ38mG0SrYZKmjB7ZeFBKgbhGZvPlAsSJlVotEpBFLv+/UfwCAAD//wMAUEsBAi0A&#10;FAAGAAgAAAAhALaDOJL+AAAA4QEAABMAAAAAAAAAAAAAAAAAAAAAAFtDb250ZW50X1R5cGVzXS54&#10;bWxQSwECLQAUAAYACAAAACEAOP0h/9YAAACUAQAACwAAAAAAAAAAAAAAAAAvAQAAX3JlbHMvLnJl&#10;bHNQSwECLQAUAAYACAAAACEA4McyvegBAAC1AwAADgAAAAAAAAAAAAAAAAAuAgAAZHJzL2Uyb0Rv&#10;Yy54bWxQSwECLQAUAAYACAAAACEAM757puMAAAAOAQAADwAAAAAAAAAAAAAAAABCBAAAZHJzL2Rv&#10;d25yZXYueG1sUEsFBgAAAAAEAAQA8wAAAFIFAAAAAA==&#10;" o:allowincell="f" fillcolor="#002060" stroked="f">
                <w10:wrap anchorx="page" anchory="page"/>
              </v:rect>
            </w:pict>
          </mc:Fallback>
        </mc:AlternateContent>
      </w:r>
    </w:p>
    <w:p w14:paraId="3560E1C4" w14:textId="77777777" w:rsidR="005A6DBB" w:rsidRDefault="00F93099">
      <w:pPr>
        <w:spacing w:before="120" w:after="120"/>
        <w:rPr>
          <w:b/>
          <w:color w:val="002060"/>
          <w:sz w:val="24"/>
        </w:rPr>
      </w:pPr>
      <w:r>
        <w:rPr>
          <w:b/>
          <w:color w:val="002060"/>
          <w:sz w:val="24"/>
        </w:rPr>
        <w:lastRenderedPageBreak/>
        <w:t>Table of Contents</w:t>
      </w:r>
    </w:p>
    <w:p w14:paraId="12E43C25" w14:textId="10D791D0" w:rsidR="002A00CD" w:rsidRDefault="00F93099">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r>
        <w:rPr>
          <w:rFonts w:cs="Arial"/>
          <w:szCs w:val="22"/>
        </w:rPr>
        <w:fldChar w:fldCharType="begin"/>
      </w:r>
      <w:r>
        <w:rPr>
          <w:rFonts w:cs="Arial"/>
          <w:szCs w:val="22"/>
        </w:rPr>
        <w:instrText xml:space="preserve"> TOC \o "1-4" \h \z \u </w:instrText>
      </w:r>
      <w:r>
        <w:rPr>
          <w:rFonts w:cs="Arial"/>
          <w:szCs w:val="22"/>
        </w:rPr>
        <w:fldChar w:fldCharType="separate"/>
      </w:r>
      <w:hyperlink w:anchor="_Toc137732194" w:history="1">
        <w:r w:rsidR="002A00CD" w:rsidRPr="0032438F">
          <w:rPr>
            <w:rStyle w:val="Hyperlink"/>
            <w:noProof/>
            <w14:scene3d>
              <w14:camera w14:prst="orthographicFront"/>
              <w14:lightRig w14:rig="threePt" w14:dir="t">
                <w14:rot w14:lat="0" w14:lon="0" w14:rev="0"/>
              </w14:lightRig>
            </w14:scene3d>
          </w:rPr>
          <w:t>1.</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ABBREVIATIONS</w:t>
        </w:r>
        <w:r w:rsidR="002A00CD">
          <w:rPr>
            <w:noProof/>
            <w:webHidden/>
          </w:rPr>
          <w:tab/>
        </w:r>
        <w:r w:rsidR="002A00CD">
          <w:rPr>
            <w:noProof/>
            <w:webHidden/>
          </w:rPr>
          <w:fldChar w:fldCharType="begin"/>
        </w:r>
        <w:r w:rsidR="002A00CD">
          <w:rPr>
            <w:noProof/>
            <w:webHidden/>
          </w:rPr>
          <w:instrText xml:space="preserve"> PAGEREF _Toc137732194 \h </w:instrText>
        </w:r>
        <w:r w:rsidR="002A00CD">
          <w:rPr>
            <w:noProof/>
            <w:webHidden/>
          </w:rPr>
        </w:r>
        <w:r w:rsidR="002A00CD">
          <w:rPr>
            <w:noProof/>
            <w:webHidden/>
          </w:rPr>
          <w:fldChar w:fldCharType="separate"/>
        </w:r>
        <w:r w:rsidR="00A564BE">
          <w:rPr>
            <w:noProof/>
            <w:webHidden/>
          </w:rPr>
          <w:t>5</w:t>
        </w:r>
        <w:r w:rsidR="002A00CD">
          <w:rPr>
            <w:noProof/>
            <w:webHidden/>
          </w:rPr>
          <w:fldChar w:fldCharType="end"/>
        </w:r>
      </w:hyperlink>
    </w:p>
    <w:p w14:paraId="58E40020" w14:textId="54293C71"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195" w:history="1">
        <w:r w:rsidR="002A00CD" w:rsidRPr="0032438F">
          <w:rPr>
            <w:rStyle w:val="Hyperlink"/>
            <w:noProof/>
            <w14:scene3d>
              <w14:camera w14:prst="orthographicFront"/>
              <w14:lightRig w14:rig="threePt" w14:dir="t">
                <w14:rot w14:lat="0" w14:lon="0" w14:rev="0"/>
              </w14:lightRig>
            </w14:scene3d>
          </w:rPr>
          <w:t>2.</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MAJOR SOURCES OF INFORMATION AND DOCUMENTATION</w:t>
        </w:r>
        <w:r w:rsidR="002A00CD">
          <w:rPr>
            <w:noProof/>
            <w:webHidden/>
          </w:rPr>
          <w:tab/>
        </w:r>
        <w:r w:rsidR="002A00CD">
          <w:rPr>
            <w:noProof/>
            <w:webHidden/>
          </w:rPr>
          <w:fldChar w:fldCharType="begin"/>
        </w:r>
        <w:r w:rsidR="002A00CD">
          <w:rPr>
            <w:noProof/>
            <w:webHidden/>
          </w:rPr>
          <w:instrText xml:space="preserve"> PAGEREF _Toc137732195 \h </w:instrText>
        </w:r>
        <w:r w:rsidR="002A00CD">
          <w:rPr>
            <w:noProof/>
            <w:webHidden/>
          </w:rPr>
        </w:r>
        <w:r w:rsidR="002A00CD">
          <w:rPr>
            <w:noProof/>
            <w:webHidden/>
          </w:rPr>
          <w:fldChar w:fldCharType="separate"/>
        </w:r>
        <w:r w:rsidR="00A564BE">
          <w:rPr>
            <w:noProof/>
            <w:webHidden/>
          </w:rPr>
          <w:t>7</w:t>
        </w:r>
        <w:r w:rsidR="002A00CD">
          <w:rPr>
            <w:noProof/>
            <w:webHidden/>
          </w:rPr>
          <w:fldChar w:fldCharType="end"/>
        </w:r>
      </w:hyperlink>
    </w:p>
    <w:p w14:paraId="3DE5BDAB" w14:textId="290F4F81"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196" w:history="1">
        <w:r w:rsidR="002A00CD" w:rsidRPr="0032438F">
          <w:rPr>
            <w:rStyle w:val="Hyperlink"/>
            <w:noProof/>
            <w14:scene3d>
              <w14:camera w14:prst="orthographicFront"/>
              <w14:lightRig w14:rig="threePt" w14:dir="t">
                <w14:rot w14:lat="0" w14:lon="0" w14:rev="0"/>
              </w14:lightRig>
            </w14:scene3d>
          </w:rPr>
          <w:t>3.</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EXECUTIVE SUMMARY</w:t>
        </w:r>
        <w:r w:rsidR="002A00CD">
          <w:rPr>
            <w:noProof/>
            <w:webHidden/>
          </w:rPr>
          <w:tab/>
        </w:r>
        <w:r w:rsidR="002A00CD">
          <w:rPr>
            <w:noProof/>
            <w:webHidden/>
          </w:rPr>
          <w:fldChar w:fldCharType="begin"/>
        </w:r>
        <w:r w:rsidR="002A00CD">
          <w:rPr>
            <w:noProof/>
            <w:webHidden/>
          </w:rPr>
          <w:instrText xml:space="preserve"> PAGEREF _Toc137732196 \h </w:instrText>
        </w:r>
        <w:r w:rsidR="002A00CD">
          <w:rPr>
            <w:noProof/>
            <w:webHidden/>
          </w:rPr>
        </w:r>
        <w:r w:rsidR="002A00CD">
          <w:rPr>
            <w:noProof/>
            <w:webHidden/>
          </w:rPr>
          <w:fldChar w:fldCharType="separate"/>
        </w:r>
        <w:r w:rsidR="00A564BE">
          <w:rPr>
            <w:noProof/>
            <w:webHidden/>
          </w:rPr>
          <w:t>8</w:t>
        </w:r>
        <w:r w:rsidR="002A00CD">
          <w:rPr>
            <w:noProof/>
            <w:webHidden/>
          </w:rPr>
          <w:fldChar w:fldCharType="end"/>
        </w:r>
      </w:hyperlink>
    </w:p>
    <w:p w14:paraId="31AA0E22" w14:textId="34D9EC89"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197" w:history="1">
        <w:r w:rsidR="002A00CD" w:rsidRPr="0032438F">
          <w:rPr>
            <w:rStyle w:val="Hyperlink"/>
            <w:noProof/>
          </w:rPr>
          <w:t>3.1</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OVERVIEW AND ECONOMIC ASSESSMENT OF MANGAUNG</w:t>
        </w:r>
        <w:r w:rsidR="002A00CD">
          <w:rPr>
            <w:noProof/>
            <w:webHidden/>
          </w:rPr>
          <w:tab/>
        </w:r>
        <w:r w:rsidR="002A00CD">
          <w:rPr>
            <w:noProof/>
            <w:webHidden/>
          </w:rPr>
          <w:fldChar w:fldCharType="begin"/>
        </w:r>
        <w:r w:rsidR="002A00CD">
          <w:rPr>
            <w:noProof/>
            <w:webHidden/>
          </w:rPr>
          <w:instrText xml:space="preserve"> PAGEREF _Toc137732197 \h </w:instrText>
        </w:r>
        <w:r w:rsidR="002A00CD">
          <w:rPr>
            <w:noProof/>
            <w:webHidden/>
          </w:rPr>
        </w:r>
        <w:r w:rsidR="002A00CD">
          <w:rPr>
            <w:noProof/>
            <w:webHidden/>
          </w:rPr>
          <w:fldChar w:fldCharType="separate"/>
        </w:r>
        <w:r w:rsidR="00A564BE">
          <w:rPr>
            <w:noProof/>
            <w:webHidden/>
          </w:rPr>
          <w:t>8</w:t>
        </w:r>
        <w:r w:rsidR="002A00CD">
          <w:rPr>
            <w:noProof/>
            <w:webHidden/>
          </w:rPr>
          <w:fldChar w:fldCharType="end"/>
        </w:r>
      </w:hyperlink>
    </w:p>
    <w:p w14:paraId="63ECECFD" w14:textId="5CDEEAEF"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198" w:history="1">
        <w:r w:rsidR="002A00CD" w:rsidRPr="0032438F">
          <w:rPr>
            <w:rStyle w:val="Hyperlink"/>
            <w:noProof/>
          </w:rPr>
          <w:t>3.2</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STATUTORY AND LEGISLATIVE CONTEXT</w:t>
        </w:r>
        <w:r w:rsidR="002A00CD">
          <w:rPr>
            <w:noProof/>
            <w:webHidden/>
          </w:rPr>
          <w:tab/>
        </w:r>
        <w:r w:rsidR="002A00CD">
          <w:rPr>
            <w:noProof/>
            <w:webHidden/>
          </w:rPr>
          <w:fldChar w:fldCharType="begin"/>
        </w:r>
        <w:r w:rsidR="002A00CD">
          <w:rPr>
            <w:noProof/>
            <w:webHidden/>
          </w:rPr>
          <w:instrText xml:space="preserve"> PAGEREF _Toc137732198 \h </w:instrText>
        </w:r>
        <w:r w:rsidR="002A00CD">
          <w:rPr>
            <w:noProof/>
            <w:webHidden/>
          </w:rPr>
        </w:r>
        <w:r w:rsidR="002A00CD">
          <w:rPr>
            <w:noProof/>
            <w:webHidden/>
          </w:rPr>
          <w:fldChar w:fldCharType="separate"/>
        </w:r>
        <w:r w:rsidR="00A564BE">
          <w:rPr>
            <w:noProof/>
            <w:webHidden/>
          </w:rPr>
          <w:t>11</w:t>
        </w:r>
        <w:r w:rsidR="002A00CD">
          <w:rPr>
            <w:noProof/>
            <w:webHidden/>
          </w:rPr>
          <w:fldChar w:fldCharType="end"/>
        </w:r>
      </w:hyperlink>
    </w:p>
    <w:p w14:paraId="134CA06C" w14:textId="4BD46507"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199" w:history="1">
        <w:r w:rsidR="002A00CD" w:rsidRPr="0032438F">
          <w:rPr>
            <w:rStyle w:val="Hyperlink"/>
            <w:noProof/>
          </w:rPr>
          <w:t>3.3</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OVERVIEW OF THE FINANCIAL RECOVERY PLAN (FRP)</w:t>
        </w:r>
        <w:r w:rsidR="002A00CD">
          <w:rPr>
            <w:noProof/>
            <w:webHidden/>
          </w:rPr>
          <w:tab/>
        </w:r>
        <w:r w:rsidR="002A00CD">
          <w:rPr>
            <w:noProof/>
            <w:webHidden/>
          </w:rPr>
          <w:fldChar w:fldCharType="begin"/>
        </w:r>
        <w:r w:rsidR="002A00CD">
          <w:rPr>
            <w:noProof/>
            <w:webHidden/>
          </w:rPr>
          <w:instrText xml:space="preserve"> PAGEREF _Toc137732199 \h </w:instrText>
        </w:r>
        <w:r w:rsidR="002A00CD">
          <w:rPr>
            <w:noProof/>
            <w:webHidden/>
          </w:rPr>
        </w:r>
        <w:r w:rsidR="002A00CD">
          <w:rPr>
            <w:noProof/>
            <w:webHidden/>
          </w:rPr>
          <w:fldChar w:fldCharType="separate"/>
        </w:r>
        <w:r w:rsidR="00A564BE">
          <w:rPr>
            <w:noProof/>
            <w:webHidden/>
          </w:rPr>
          <w:t>12</w:t>
        </w:r>
        <w:r w:rsidR="002A00CD">
          <w:rPr>
            <w:noProof/>
            <w:webHidden/>
          </w:rPr>
          <w:fldChar w:fldCharType="end"/>
        </w:r>
      </w:hyperlink>
    </w:p>
    <w:p w14:paraId="7DB30208" w14:textId="3501C0DB"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00" w:history="1">
        <w:r w:rsidR="002A00CD" w:rsidRPr="0032438F">
          <w:rPr>
            <w:rStyle w:val="Hyperlink"/>
            <w:noProof/>
          </w:rPr>
          <w:t>3.4</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STATUS QUO ASSESSMENT METHODOLOGY</w:t>
        </w:r>
        <w:r w:rsidR="002A00CD">
          <w:rPr>
            <w:noProof/>
            <w:webHidden/>
          </w:rPr>
          <w:tab/>
        </w:r>
        <w:r w:rsidR="002A00CD">
          <w:rPr>
            <w:noProof/>
            <w:webHidden/>
          </w:rPr>
          <w:fldChar w:fldCharType="begin"/>
        </w:r>
        <w:r w:rsidR="002A00CD">
          <w:rPr>
            <w:noProof/>
            <w:webHidden/>
          </w:rPr>
          <w:instrText xml:space="preserve"> PAGEREF _Toc137732200 \h </w:instrText>
        </w:r>
        <w:r w:rsidR="002A00CD">
          <w:rPr>
            <w:noProof/>
            <w:webHidden/>
          </w:rPr>
        </w:r>
        <w:r w:rsidR="002A00CD">
          <w:rPr>
            <w:noProof/>
            <w:webHidden/>
          </w:rPr>
          <w:fldChar w:fldCharType="separate"/>
        </w:r>
        <w:r w:rsidR="00A564BE">
          <w:rPr>
            <w:noProof/>
            <w:webHidden/>
          </w:rPr>
          <w:t>14</w:t>
        </w:r>
        <w:r w:rsidR="002A00CD">
          <w:rPr>
            <w:noProof/>
            <w:webHidden/>
          </w:rPr>
          <w:fldChar w:fldCharType="end"/>
        </w:r>
      </w:hyperlink>
    </w:p>
    <w:p w14:paraId="5761F2F4" w14:textId="6C712B80"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01" w:history="1">
        <w:r w:rsidR="002A00CD" w:rsidRPr="0032438F">
          <w:rPr>
            <w:rStyle w:val="Hyperlink"/>
            <w:noProof/>
          </w:rPr>
          <w:t>3.5</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RISK MATRIX</w:t>
        </w:r>
        <w:r w:rsidR="002A00CD">
          <w:rPr>
            <w:noProof/>
            <w:webHidden/>
          </w:rPr>
          <w:tab/>
        </w:r>
        <w:r w:rsidR="002A00CD">
          <w:rPr>
            <w:noProof/>
            <w:webHidden/>
          </w:rPr>
          <w:fldChar w:fldCharType="begin"/>
        </w:r>
        <w:r w:rsidR="002A00CD">
          <w:rPr>
            <w:noProof/>
            <w:webHidden/>
          </w:rPr>
          <w:instrText xml:space="preserve"> PAGEREF _Toc137732201 \h </w:instrText>
        </w:r>
        <w:r w:rsidR="002A00CD">
          <w:rPr>
            <w:noProof/>
            <w:webHidden/>
          </w:rPr>
        </w:r>
        <w:r w:rsidR="002A00CD">
          <w:rPr>
            <w:noProof/>
            <w:webHidden/>
          </w:rPr>
          <w:fldChar w:fldCharType="separate"/>
        </w:r>
        <w:r w:rsidR="00A564BE">
          <w:rPr>
            <w:noProof/>
            <w:webHidden/>
          </w:rPr>
          <w:t>17</w:t>
        </w:r>
        <w:r w:rsidR="002A00CD">
          <w:rPr>
            <w:noProof/>
            <w:webHidden/>
          </w:rPr>
          <w:fldChar w:fldCharType="end"/>
        </w:r>
      </w:hyperlink>
    </w:p>
    <w:p w14:paraId="63B252D4" w14:textId="7E837AF8"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02" w:history="1">
        <w:r w:rsidR="002A00CD" w:rsidRPr="0032438F">
          <w:rPr>
            <w:rStyle w:val="Hyperlink"/>
            <w:noProof/>
            <w14:scene3d>
              <w14:camera w14:prst="orthographicFront"/>
              <w14:lightRig w14:rig="threePt" w14:dir="t">
                <w14:rot w14:lat="0" w14:lon="0" w14:rev="0"/>
              </w14:lightRig>
            </w14:scene3d>
          </w:rPr>
          <w:t>4.</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PART TWO – STATUS QUO ASSESSMENT</w:t>
        </w:r>
        <w:r w:rsidR="002A00CD">
          <w:rPr>
            <w:noProof/>
            <w:webHidden/>
          </w:rPr>
          <w:tab/>
        </w:r>
        <w:r w:rsidR="002A00CD">
          <w:rPr>
            <w:noProof/>
            <w:webHidden/>
          </w:rPr>
          <w:fldChar w:fldCharType="begin"/>
        </w:r>
        <w:r w:rsidR="002A00CD">
          <w:rPr>
            <w:noProof/>
            <w:webHidden/>
          </w:rPr>
          <w:instrText xml:space="preserve"> PAGEREF _Toc137732202 \h </w:instrText>
        </w:r>
        <w:r w:rsidR="002A00CD">
          <w:rPr>
            <w:noProof/>
            <w:webHidden/>
          </w:rPr>
        </w:r>
        <w:r w:rsidR="002A00CD">
          <w:rPr>
            <w:noProof/>
            <w:webHidden/>
          </w:rPr>
          <w:fldChar w:fldCharType="separate"/>
        </w:r>
        <w:r w:rsidR="00A564BE">
          <w:rPr>
            <w:noProof/>
            <w:webHidden/>
          </w:rPr>
          <w:t>19</w:t>
        </w:r>
        <w:r w:rsidR="002A00CD">
          <w:rPr>
            <w:noProof/>
            <w:webHidden/>
          </w:rPr>
          <w:fldChar w:fldCharType="end"/>
        </w:r>
      </w:hyperlink>
    </w:p>
    <w:p w14:paraId="4B208733" w14:textId="5939742F"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03" w:history="1">
        <w:r w:rsidR="002A00CD" w:rsidRPr="0032438F">
          <w:rPr>
            <w:rStyle w:val="Hyperlink"/>
            <w:noProof/>
          </w:rPr>
          <w:t>4.1</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KEY ISSUES IDENTIFIED AND PROPOSED INTERVENTION STRATEGIES</w:t>
        </w:r>
        <w:r w:rsidR="002A00CD">
          <w:rPr>
            <w:noProof/>
            <w:webHidden/>
          </w:rPr>
          <w:tab/>
        </w:r>
        <w:r w:rsidR="002A00CD">
          <w:rPr>
            <w:noProof/>
            <w:webHidden/>
          </w:rPr>
          <w:fldChar w:fldCharType="begin"/>
        </w:r>
        <w:r w:rsidR="002A00CD">
          <w:rPr>
            <w:noProof/>
            <w:webHidden/>
          </w:rPr>
          <w:instrText xml:space="preserve"> PAGEREF _Toc137732203 \h </w:instrText>
        </w:r>
        <w:r w:rsidR="002A00CD">
          <w:rPr>
            <w:noProof/>
            <w:webHidden/>
          </w:rPr>
        </w:r>
        <w:r w:rsidR="002A00CD">
          <w:rPr>
            <w:noProof/>
            <w:webHidden/>
          </w:rPr>
          <w:fldChar w:fldCharType="separate"/>
        </w:r>
        <w:r w:rsidR="00A564BE">
          <w:rPr>
            <w:noProof/>
            <w:webHidden/>
          </w:rPr>
          <w:t>19</w:t>
        </w:r>
        <w:r w:rsidR="002A00CD">
          <w:rPr>
            <w:noProof/>
            <w:webHidden/>
          </w:rPr>
          <w:fldChar w:fldCharType="end"/>
        </w:r>
      </w:hyperlink>
    </w:p>
    <w:p w14:paraId="39EF96DB" w14:textId="69976F76"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04" w:history="1">
        <w:r w:rsidR="002A00CD" w:rsidRPr="0032438F">
          <w:rPr>
            <w:rStyle w:val="Hyperlink"/>
            <w:noProof/>
          </w:rPr>
          <w:t>4.2</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GOVERNANCE</w:t>
        </w:r>
        <w:r w:rsidR="002A00CD">
          <w:rPr>
            <w:noProof/>
            <w:webHidden/>
          </w:rPr>
          <w:tab/>
        </w:r>
        <w:r w:rsidR="002A00CD">
          <w:rPr>
            <w:noProof/>
            <w:webHidden/>
          </w:rPr>
          <w:fldChar w:fldCharType="begin"/>
        </w:r>
        <w:r w:rsidR="002A00CD">
          <w:rPr>
            <w:noProof/>
            <w:webHidden/>
          </w:rPr>
          <w:instrText xml:space="preserve"> PAGEREF _Toc137732204 \h </w:instrText>
        </w:r>
        <w:r w:rsidR="002A00CD">
          <w:rPr>
            <w:noProof/>
            <w:webHidden/>
          </w:rPr>
        </w:r>
        <w:r w:rsidR="002A00CD">
          <w:rPr>
            <w:noProof/>
            <w:webHidden/>
          </w:rPr>
          <w:fldChar w:fldCharType="separate"/>
        </w:r>
        <w:r w:rsidR="00A564BE">
          <w:rPr>
            <w:noProof/>
            <w:webHidden/>
          </w:rPr>
          <w:t>19</w:t>
        </w:r>
        <w:r w:rsidR="002A00CD">
          <w:rPr>
            <w:noProof/>
            <w:webHidden/>
          </w:rPr>
          <w:fldChar w:fldCharType="end"/>
        </w:r>
      </w:hyperlink>
    </w:p>
    <w:p w14:paraId="377B158B" w14:textId="08D1A0AC"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05" w:history="1">
        <w:r w:rsidR="002A00CD" w:rsidRPr="0032438F">
          <w:rPr>
            <w:rStyle w:val="Hyperlink"/>
            <w:noProof/>
          </w:rPr>
          <w:t>4.3</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INSTITUTIONAL, ORGANISATIONAL AND HUMAN RESOURCES</w:t>
        </w:r>
        <w:r w:rsidR="002A00CD">
          <w:rPr>
            <w:noProof/>
            <w:webHidden/>
          </w:rPr>
          <w:tab/>
        </w:r>
        <w:r w:rsidR="002A00CD">
          <w:rPr>
            <w:noProof/>
            <w:webHidden/>
          </w:rPr>
          <w:fldChar w:fldCharType="begin"/>
        </w:r>
        <w:r w:rsidR="002A00CD">
          <w:rPr>
            <w:noProof/>
            <w:webHidden/>
          </w:rPr>
          <w:instrText xml:space="preserve"> PAGEREF _Toc137732205 \h </w:instrText>
        </w:r>
        <w:r w:rsidR="002A00CD">
          <w:rPr>
            <w:noProof/>
            <w:webHidden/>
          </w:rPr>
        </w:r>
        <w:r w:rsidR="002A00CD">
          <w:rPr>
            <w:noProof/>
            <w:webHidden/>
          </w:rPr>
          <w:fldChar w:fldCharType="separate"/>
        </w:r>
        <w:r w:rsidR="00A564BE">
          <w:rPr>
            <w:noProof/>
            <w:webHidden/>
          </w:rPr>
          <w:t>33</w:t>
        </w:r>
        <w:r w:rsidR="002A00CD">
          <w:rPr>
            <w:noProof/>
            <w:webHidden/>
          </w:rPr>
          <w:fldChar w:fldCharType="end"/>
        </w:r>
      </w:hyperlink>
    </w:p>
    <w:p w14:paraId="07F64200" w14:textId="3E0641F8"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06" w:history="1">
        <w:r w:rsidR="002A00CD" w:rsidRPr="0032438F">
          <w:rPr>
            <w:rStyle w:val="Hyperlink"/>
            <w:rFonts w:cs="Arial"/>
            <w:noProof/>
          </w:rPr>
          <w:t>4.3.1</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INTRODUCTION</w:t>
        </w:r>
        <w:r w:rsidR="002A00CD">
          <w:rPr>
            <w:noProof/>
            <w:webHidden/>
          </w:rPr>
          <w:tab/>
        </w:r>
        <w:r w:rsidR="002A00CD">
          <w:rPr>
            <w:noProof/>
            <w:webHidden/>
          </w:rPr>
          <w:fldChar w:fldCharType="begin"/>
        </w:r>
        <w:r w:rsidR="002A00CD">
          <w:rPr>
            <w:noProof/>
            <w:webHidden/>
          </w:rPr>
          <w:instrText xml:space="preserve"> PAGEREF _Toc137732206 \h </w:instrText>
        </w:r>
        <w:r w:rsidR="002A00CD">
          <w:rPr>
            <w:noProof/>
            <w:webHidden/>
          </w:rPr>
        </w:r>
        <w:r w:rsidR="002A00CD">
          <w:rPr>
            <w:noProof/>
            <w:webHidden/>
          </w:rPr>
          <w:fldChar w:fldCharType="separate"/>
        </w:r>
        <w:r w:rsidR="00A564BE">
          <w:rPr>
            <w:noProof/>
            <w:webHidden/>
          </w:rPr>
          <w:t>33</w:t>
        </w:r>
        <w:r w:rsidR="002A00CD">
          <w:rPr>
            <w:noProof/>
            <w:webHidden/>
          </w:rPr>
          <w:fldChar w:fldCharType="end"/>
        </w:r>
      </w:hyperlink>
    </w:p>
    <w:p w14:paraId="0D4EBEF0" w14:textId="3A463064"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07" w:history="1">
        <w:r w:rsidR="002A00CD" w:rsidRPr="0032438F">
          <w:rPr>
            <w:rStyle w:val="Hyperlink"/>
            <w:rFonts w:cs="Arial"/>
            <w:noProof/>
          </w:rPr>
          <w:t>4.3.2</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LEADERSHIP AND MANAGEMENT</w:t>
        </w:r>
        <w:r w:rsidR="002A00CD">
          <w:rPr>
            <w:noProof/>
            <w:webHidden/>
          </w:rPr>
          <w:tab/>
        </w:r>
        <w:r w:rsidR="002A00CD">
          <w:rPr>
            <w:noProof/>
            <w:webHidden/>
          </w:rPr>
          <w:fldChar w:fldCharType="begin"/>
        </w:r>
        <w:r w:rsidR="002A00CD">
          <w:rPr>
            <w:noProof/>
            <w:webHidden/>
          </w:rPr>
          <w:instrText xml:space="preserve"> PAGEREF _Toc137732207 \h </w:instrText>
        </w:r>
        <w:r w:rsidR="002A00CD">
          <w:rPr>
            <w:noProof/>
            <w:webHidden/>
          </w:rPr>
        </w:r>
        <w:r w:rsidR="002A00CD">
          <w:rPr>
            <w:noProof/>
            <w:webHidden/>
          </w:rPr>
          <w:fldChar w:fldCharType="separate"/>
        </w:r>
        <w:r w:rsidR="00A564BE">
          <w:rPr>
            <w:noProof/>
            <w:webHidden/>
          </w:rPr>
          <w:t>38</w:t>
        </w:r>
        <w:r w:rsidR="002A00CD">
          <w:rPr>
            <w:noProof/>
            <w:webHidden/>
          </w:rPr>
          <w:fldChar w:fldCharType="end"/>
        </w:r>
      </w:hyperlink>
    </w:p>
    <w:p w14:paraId="20FFB4DD" w14:textId="7834F4A7"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08" w:history="1">
        <w:r w:rsidR="002A00CD" w:rsidRPr="0032438F">
          <w:rPr>
            <w:rStyle w:val="Hyperlink"/>
            <w:rFonts w:cs="Arial"/>
            <w:noProof/>
          </w:rPr>
          <w:t>4.3.3</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ORGANISATIONAL STRUCTURE</w:t>
        </w:r>
        <w:r w:rsidR="002A00CD">
          <w:rPr>
            <w:noProof/>
            <w:webHidden/>
          </w:rPr>
          <w:tab/>
        </w:r>
        <w:r w:rsidR="002A00CD">
          <w:rPr>
            <w:noProof/>
            <w:webHidden/>
          </w:rPr>
          <w:fldChar w:fldCharType="begin"/>
        </w:r>
        <w:r w:rsidR="002A00CD">
          <w:rPr>
            <w:noProof/>
            <w:webHidden/>
          </w:rPr>
          <w:instrText xml:space="preserve"> PAGEREF _Toc137732208 \h </w:instrText>
        </w:r>
        <w:r w:rsidR="002A00CD">
          <w:rPr>
            <w:noProof/>
            <w:webHidden/>
          </w:rPr>
        </w:r>
        <w:r w:rsidR="002A00CD">
          <w:rPr>
            <w:noProof/>
            <w:webHidden/>
          </w:rPr>
          <w:fldChar w:fldCharType="separate"/>
        </w:r>
        <w:r w:rsidR="00A564BE">
          <w:rPr>
            <w:noProof/>
            <w:webHidden/>
          </w:rPr>
          <w:t>38</w:t>
        </w:r>
        <w:r w:rsidR="002A00CD">
          <w:rPr>
            <w:noProof/>
            <w:webHidden/>
          </w:rPr>
          <w:fldChar w:fldCharType="end"/>
        </w:r>
      </w:hyperlink>
    </w:p>
    <w:p w14:paraId="0CCA3431" w14:textId="21580D3F"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09" w:history="1">
        <w:r w:rsidR="002A00CD" w:rsidRPr="0032438F">
          <w:rPr>
            <w:rStyle w:val="Hyperlink"/>
            <w:rFonts w:cs="Arial"/>
            <w:noProof/>
          </w:rPr>
          <w:t>4.3.4</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ADOPTION AND IMPLEMENTATION OF A DELEGATION SYSTEM</w:t>
        </w:r>
        <w:r w:rsidR="002A00CD">
          <w:rPr>
            <w:noProof/>
            <w:webHidden/>
          </w:rPr>
          <w:tab/>
        </w:r>
        <w:r w:rsidR="002A00CD">
          <w:rPr>
            <w:noProof/>
            <w:webHidden/>
          </w:rPr>
          <w:fldChar w:fldCharType="begin"/>
        </w:r>
        <w:r w:rsidR="002A00CD">
          <w:rPr>
            <w:noProof/>
            <w:webHidden/>
          </w:rPr>
          <w:instrText xml:space="preserve"> PAGEREF _Toc137732209 \h </w:instrText>
        </w:r>
        <w:r w:rsidR="002A00CD">
          <w:rPr>
            <w:noProof/>
            <w:webHidden/>
          </w:rPr>
        </w:r>
        <w:r w:rsidR="002A00CD">
          <w:rPr>
            <w:noProof/>
            <w:webHidden/>
          </w:rPr>
          <w:fldChar w:fldCharType="separate"/>
        </w:r>
        <w:r w:rsidR="00A564BE">
          <w:rPr>
            <w:noProof/>
            <w:webHidden/>
          </w:rPr>
          <w:t>41</w:t>
        </w:r>
        <w:r w:rsidR="002A00CD">
          <w:rPr>
            <w:noProof/>
            <w:webHidden/>
          </w:rPr>
          <w:fldChar w:fldCharType="end"/>
        </w:r>
      </w:hyperlink>
    </w:p>
    <w:p w14:paraId="4440EE3A" w14:textId="1F611D24"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0" w:history="1">
        <w:r w:rsidR="002A00CD" w:rsidRPr="0032438F">
          <w:rPr>
            <w:rStyle w:val="Hyperlink"/>
            <w:rFonts w:cs="Arial"/>
            <w:noProof/>
          </w:rPr>
          <w:t>4.3.5</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PERFORMANCE MANAGEMENT</w:t>
        </w:r>
        <w:r w:rsidR="002A00CD">
          <w:rPr>
            <w:noProof/>
            <w:webHidden/>
          </w:rPr>
          <w:tab/>
        </w:r>
        <w:r w:rsidR="002A00CD">
          <w:rPr>
            <w:noProof/>
            <w:webHidden/>
          </w:rPr>
          <w:fldChar w:fldCharType="begin"/>
        </w:r>
        <w:r w:rsidR="002A00CD">
          <w:rPr>
            <w:noProof/>
            <w:webHidden/>
          </w:rPr>
          <w:instrText xml:space="preserve"> PAGEREF _Toc137732210 \h </w:instrText>
        </w:r>
        <w:r w:rsidR="002A00CD">
          <w:rPr>
            <w:noProof/>
            <w:webHidden/>
          </w:rPr>
        </w:r>
        <w:r w:rsidR="002A00CD">
          <w:rPr>
            <w:noProof/>
            <w:webHidden/>
          </w:rPr>
          <w:fldChar w:fldCharType="separate"/>
        </w:r>
        <w:r w:rsidR="00A564BE">
          <w:rPr>
            <w:noProof/>
            <w:webHidden/>
          </w:rPr>
          <w:t>41</w:t>
        </w:r>
        <w:r w:rsidR="002A00CD">
          <w:rPr>
            <w:noProof/>
            <w:webHidden/>
          </w:rPr>
          <w:fldChar w:fldCharType="end"/>
        </w:r>
      </w:hyperlink>
    </w:p>
    <w:p w14:paraId="0A000A47" w14:textId="187D7B4E"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1" w:history="1">
        <w:r w:rsidR="002A00CD" w:rsidRPr="0032438F">
          <w:rPr>
            <w:rStyle w:val="Hyperlink"/>
            <w:rFonts w:cs="Arial"/>
            <w:noProof/>
          </w:rPr>
          <w:t>4.3.6</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POLICIES AND PROCEDURES</w:t>
        </w:r>
        <w:r w:rsidR="002A00CD">
          <w:rPr>
            <w:noProof/>
            <w:webHidden/>
          </w:rPr>
          <w:tab/>
        </w:r>
        <w:r w:rsidR="002A00CD">
          <w:rPr>
            <w:noProof/>
            <w:webHidden/>
          </w:rPr>
          <w:fldChar w:fldCharType="begin"/>
        </w:r>
        <w:r w:rsidR="002A00CD">
          <w:rPr>
            <w:noProof/>
            <w:webHidden/>
          </w:rPr>
          <w:instrText xml:space="preserve"> PAGEREF _Toc137732211 \h </w:instrText>
        </w:r>
        <w:r w:rsidR="002A00CD">
          <w:rPr>
            <w:noProof/>
            <w:webHidden/>
          </w:rPr>
        </w:r>
        <w:r w:rsidR="002A00CD">
          <w:rPr>
            <w:noProof/>
            <w:webHidden/>
          </w:rPr>
          <w:fldChar w:fldCharType="separate"/>
        </w:r>
        <w:r w:rsidR="00A564BE">
          <w:rPr>
            <w:noProof/>
            <w:webHidden/>
          </w:rPr>
          <w:t>42</w:t>
        </w:r>
        <w:r w:rsidR="002A00CD">
          <w:rPr>
            <w:noProof/>
            <w:webHidden/>
          </w:rPr>
          <w:fldChar w:fldCharType="end"/>
        </w:r>
      </w:hyperlink>
    </w:p>
    <w:p w14:paraId="3E970C27" w14:textId="3616FB56"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2" w:history="1">
        <w:r w:rsidR="002A00CD" w:rsidRPr="0032438F">
          <w:rPr>
            <w:rStyle w:val="Hyperlink"/>
            <w:rFonts w:cs="Arial"/>
            <w:noProof/>
          </w:rPr>
          <w:t>4.3.7</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DISCIPLINARY BOARD</w:t>
        </w:r>
        <w:r w:rsidR="002A00CD">
          <w:rPr>
            <w:noProof/>
            <w:webHidden/>
          </w:rPr>
          <w:tab/>
        </w:r>
        <w:r w:rsidR="002A00CD">
          <w:rPr>
            <w:noProof/>
            <w:webHidden/>
          </w:rPr>
          <w:fldChar w:fldCharType="begin"/>
        </w:r>
        <w:r w:rsidR="002A00CD">
          <w:rPr>
            <w:noProof/>
            <w:webHidden/>
          </w:rPr>
          <w:instrText xml:space="preserve"> PAGEREF _Toc137732212 \h </w:instrText>
        </w:r>
        <w:r w:rsidR="002A00CD">
          <w:rPr>
            <w:noProof/>
            <w:webHidden/>
          </w:rPr>
        </w:r>
        <w:r w:rsidR="002A00CD">
          <w:rPr>
            <w:noProof/>
            <w:webHidden/>
          </w:rPr>
          <w:fldChar w:fldCharType="separate"/>
        </w:r>
        <w:r w:rsidR="00A564BE">
          <w:rPr>
            <w:noProof/>
            <w:webHidden/>
          </w:rPr>
          <w:t>42</w:t>
        </w:r>
        <w:r w:rsidR="002A00CD">
          <w:rPr>
            <w:noProof/>
            <w:webHidden/>
          </w:rPr>
          <w:fldChar w:fldCharType="end"/>
        </w:r>
      </w:hyperlink>
    </w:p>
    <w:p w14:paraId="43B9FD26" w14:textId="7A6CEC50"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3" w:history="1">
        <w:r w:rsidR="002A00CD" w:rsidRPr="0032438F">
          <w:rPr>
            <w:rStyle w:val="Hyperlink"/>
            <w:rFonts w:cs="Arial"/>
            <w:noProof/>
          </w:rPr>
          <w:t>4.3.8</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TRAINING AND DEVELOPMENT</w:t>
        </w:r>
        <w:r w:rsidR="002A00CD">
          <w:rPr>
            <w:noProof/>
            <w:webHidden/>
          </w:rPr>
          <w:tab/>
        </w:r>
        <w:r w:rsidR="002A00CD">
          <w:rPr>
            <w:noProof/>
            <w:webHidden/>
          </w:rPr>
          <w:fldChar w:fldCharType="begin"/>
        </w:r>
        <w:r w:rsidR="002A00CD">
          <w:rPr>
            <w:noProof/>
            <w:webHidden/>
          </w:rPr>
          <w:instrText xml:space="preserve"> PAGEREF _Toc137732213 \h </w:instrText>
        </w:r>
        <w:r w:rsidR="002A00CD">
          <w:rPr>
            <w:noProof/>
            <w:webHidden/>
          </w:rPr>
        </w:r>
        <w:r w:rsidR="002A00CD">
          <w:rPr>
            <w:noProof/>
            <w:webHidden/>
          </w:rPr>
          <w:fldChar w:fldCharType="separate"/>
        </w:r>
        <w:r w:rsidR="00A564BE">
          <w:rPr>
            <w:noProof/>
            <w:webHidden/>
          </w:rPr>
          <w:t>42</w:t>
        </w:r>
        <w:r w:rsidR="002A00CD">
          <w:rPr>
            <w:noProof/>
            <w:webHidden/>
          </w:rPr>
          <w:fldChar w:fldCharType="end"/>
        </w:r>
      </w:hyperlink>
    </w:p>
    <w:p w14:paraId="5131717F" w14:textId="478E2B09"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4" w:history="1">
        <w:r w:rsidR="002A00CD" w:rsidRPr="0032438F">
          <w:rPr>
            <w:rStyle w:val="Hyperlink"/>
            <w:rFonts w:cs="Arial"/>
            <w:noProof/>
          </w:rPr>
          <w:t>4.3.9</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STAFF DISCIPLINE AND MORALE</w:t>
        </w:r>
        <w:r w:rsidR="002A00CD">
          <w:rPr>
            <w:noProof/>
            <w:webHidden/>
          </w:rPr>
          <w:tab/>
        </w:r>
        <w:r w:rsidR="002A00CD">
          <w:rPr>
            <w:noProof/>
            <w:webHidden/>
          </w:rPr>
          <w:fldChar w:fldCharType="begin"/>
        </w:r>
        <w:r w:rsidR="002A00CD">
          <w:rPr>
            <w:noProof/>
            <w:webHidden/>
          </w:rPr>
          <w:instrText xml:space="preserve"> PAGEREF _Toc137732214 \h </w:instrText>
        </w:r>
        <w:r w:rsidR="002A00CD">
          <w:rPr>
            <w:noProof/>
            <w:webHidden/>
          </w:rPr>
        </w:r>
        <w:r w:rsidR="002A00CD">
          <w:rPr>
            <w:noProof/>
            <w:webHidden/>
          </w:rPr>
          <w:fldChar w:fldCharType="separate"/>
        </w:r>
        <w:r w:rsidR="00A564BE">
          <w:rPr>
            <w:noProof/>
            <w:webHidden/>
          </w:rPr>
          <w:t>43</w:t>
        </w:r>
        <w:r w:rsidR="002A00CD">
          <w:rPr>
            <w:noProof/>
            <w:webHidden/>
          </w:rPr>
          <w:fldChar w:fldCharType="end"/>
        </w:r>
      </w:hyperlink>
    </w:p>
    <w:p w14:paraId="70DBF50B" w14:textId="43587749"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15" w:history="1">
        <w:r w:rsidR="002A00CD" w:rsidRPr="0032438F">
          <w:rPr>
            <w:rStyle w:val="Hyperlink"/>
            <w:noProof/>
          </w:rPr>
          <w:t>4.4</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FINANCIAL MANAGEMENT</w:t>
        </w:r>
        <w:r w:rsidR="002A00CD">
          <w:rPr>
            <w:noProof/>
            <w:webHidden/>
          </w:rPr>
          <w:tab/>
        </w:r>
        <w:r w:rsidR="002A00CD">
          <w:rPr>
            <w:noProof/>
            <w:webHidden/>
          </w:rPr>
          <w:fldChar w:fldCharType="begin"/>
        </w:r>
        <w:r w:rsidR="002A00CD">
          <w:rPr>
            <w:noProof/>
            <w:webHidden/>
          </w:rPr>
          <w:instrText xml:space="preserve"> PAGEREF _Toc137732215 \h </w:instrText>
        </w:r>
        <w:r w:rsidR="002A00CD">
          <w:rPr>
            <w:noProof/>
            <w:webHidden/>
          </w:rPr>
        </w:r>
        <w:r w:rsidR="002A00CD">
          <w:rPr>
            <w:noProof/>
            <w:webHidden/>
          </w:rPr>
          <w:fldChar w:fldCharType="separate"/>
        </w:r>
        <w:r w:rsidR="00A564BE">
          <w:rPr>
            <w:noProof/>
            <w:webHidden/>
          </w:rPr>
          <w:t>44</w:t>
        </w:r>
        <w:r w:rsidR="002A00CD">
          <w:rPr>
            <w:noProof/>
            <w:webHidden/>
          </w:rPr>
          <w:fldChar w:fldCharType="end"/>
        </w:r>
      </w:hyperlink>
    </w:p>
    <w:p w14:paraId="41549404" w14:textId="73115758"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6" w:history="1">
        <w:r w:rsidR="002A00CD" w:rsidRPr="0032438F">
          <w:rPr>
            <w:rStyle w:val="Hyperlink"/>
            <w:rFonts w:eastAsia="Calibri" w:cs="Arial"/>
            <w:noProof/>
          </w:rPr>
          <w:t>4.4.1</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FUNDED BUDGET AND BUDGET SPENDING LIMITS</w:t>
        </w:r>
        <w:r w:rsidR="002A00CD">
          <w:rPr>
            <w:noProof/>
            <w:webHidden/>
          </w:rPr>
          <w:tab/>
        </w:r>
        <w:r w:rsidR="002A00CD">
          <w:rPr>
            <w:noProof/>
            <w:webHidden/>
          </w:rPr>
          <w:fldChar w:fldCharType="begin"/>
        </w:r>
        <w:r w:rsidR="002A00CD">
          <w:rPr>
            <w:noProof/>
            <w:webHidden/>
          </w:rPr>
          <w:instrText xml:space="preserve"> PAGEREF _Toc137732216 \h </w:instrText>
        </w:r>
        <w:r w:rsidR="002A00CD">
          <w:rPr>
            <w:noProof/>
            <w:webHidden/>
          </w:rPr>
        </w:r>
        <w:r w:rsidR="002A00CD">
          <w:rPr>
            <w:noProof/>
            <w:webHidden/>
          </w:rPr>
          <w:fldChar w:fldCharType="separate"/>
        </w:r>
        <w:r w:rsidR="00A564BE">
          <w:rPr>
            <w:noProof/>
            <w:webHidden/>
          </w:rPr>
          <w:t>54</w:t>
        </w:r>
        <w:r w:rsidR="002A00CD">
          <w:rPr>
            <w:noProof/>
            <w:webHidden/>
          </w:rPr>
          <w:fldChar w:fldCharType="end"/>
        </w:r>
      </w:hyperlink>
    </w:p>
    <w:p w14:paraId="64BF4261" w14:textId="61BAF4E8"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7" w:history="1">
        <w:r w:rsidR="002A00CD" w:rsidRPr="0032438F">
          <w:rPr>
            <w:rStyle w:val="Hyperlink"/>
            <w:rFonts w:eastAsia="Calibri" w:cs="Arial"/>
            <w:noProof/>
          </w:rPr>
          <w:t>4.4.2</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BUDGET RELATED POLICIES</w:t>
        </w:r>
        <w:r w:rsidR="002A00CD">
          <w:rPr>
            <w:noProof/>
            <w:webHidden/>
          </w:rPr>
          <w:tab/>
        </w:r>
        <w:r w:rsidR="002A00CD">
          <w:rPr>
            <w:noProof/>
            <w:webHidden/>
          </w:rPr>
          <w:fldChar w:fldCharType="begin"/>
        </w:r>
        <w:r w:rsidR="002A00CD">
          <w:rPr>
            <w:noProof/>
            <w:webHidden/>
          </w:rPr>
          <w:instrText xml:space="preserve"> PAGEREF _Toc137732217 \h </w:instrText>
        </w:r>
        <w:r w:rsidR="002A00CD">
          <w:rPr>
            <w:noProof/>
            <w:webHidden/>
          </w:rPr>
        </w:r>
        <w:r w:rsidR="002A00CD">
          <w:rPr>
            <w:noProof/>
            <w:webHidden/>
          </w:rPr>
          <w:fldChar w:fldCharType="separate"/>
        </w:r>
        <w:r w:rsidR="00A564BE">
          <w:rPr>
            <w:noProof/>
            <w:webHidden/>
          </w:rPr>
          <w:t>57</w:t>
        </w:r>
        <w:r w:rsidR="002A00CD">
          <w:rPr>
            <w:noProof/>
            <w:webHidden/>
          </w:rPr>
          <w:fldChar w:fldCharType="end"/>
        </w:r>
      </w:hyperlink>
    </w:p>
    <w:p w14:paraId="186276C8" w14:textId="5AA871F8"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8" w:history="1">
        <w:r w:rsidR="002A00CD" w:rsidRPr="0032438F">
          <w:rPr>
            <w:rStyle w:val="Hyperlink"/>
            <w:rFonts w:eastAsia="Calibri" w:cs="Arial"/>
            <w:noProof/>
          </w:rPr>
          <w:t>4.4.3</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REVENUE MANAGEMENT</w:t>
        </w:r>
        <w:r w:rsidR="002A00CD">
          <w:rPr>
            <w:noProof/>
            <w:webHidden/>
          </w:rPr>
          <w:tab/>
        </w:r>
        <w:r w:rsidR="002A00CD">
          <w:rPr>
            <w:noProof/>
            <w:webHidden/>
          </w:rPr>
          <w:fldChar w:fldCharType="begin"/>
        </w:r>
        <w:r w:rsidR="002A00CD">
          <w:rPr>
            <w:noProof/>
            <w:webHidden/>
          </w:rPr>
          <w:instrText xml:space="preserve"> PAGEREF _Toc137732218 \h </w:instrText>
        </w:r>
        <w:r w:rsidR="002A00CD">
          <w:rPr>
            <w:noProof/>
            <w:webHidden/>
          </w:rPr>
        </w:r>
        <w:r w:rsidR="002A00CD">
          <w:rPr>
            <w:noProof/>
            <w:webHidden/>
          </w:rPr>
          <w:fldChar w:fldCharType="separate"/>
        </w:r>
        <w:r w:rsidR="00A564BE">
          <w:rPr>
            <w:noProof/>
            <w:webHidden/>
          </w:rPr>
          <w:t>58</w:t>
        </w:r>
        <w:r w:rsidR="002A00CD">
          <w:rPr>
            <w:noProof/>
            <w:webHidden/>
          </w:rPr>
          <w:fldChar w:fldCharType="end"/>
        </w:r>
      </w:hyperlink>
    </w:p>
    <w:p w14:paraId="14738D95" w14:textId="409B3C95"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19" w:history="1">
        <w:r w:rsidR="002A00CD" w:rsidRPr="0032438F">
          <w:rPr>
            <w:rStyle w:val="Hyperlink"/>
            <w:rFonts w:eastAsia="Calibri" w:cs="Arial"/>
            <w:noProof/>
          </w:rPr>
          <w:t>4.4.4</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CUSTOMER CARE AND DATA ACCURACY</w:t>
        </w:r>
        <w:r w:rsidR="002A00CD">
          <w:rPr>
            <w:noProof/>
            <w:webHidden/>
          </w:rPr>
          <w:tab/>
        </w:r>
        <w:r w:rsidR="002A00CD">
          <w:rPr>
            <w:noProof/>
            <w:webHidden/>
          </w:rPr>
          <w:fldChar w:fldCharType="begin"/>
        </w:r>
        <w:r w:rsidR="002A00CD">
          <w:rPr>
            <w:noProof/>
            <w:webHidden/>
          </w:rPr>
          <w:instrText xml:space="preserve"> PAGEREF _Toc137732219 \h </w:instrText>
        </w:r>
        <w:r w:rsidR="002A00CD">
          <w:rPr>
            <w:noProof/>
            <w:webHidden/>
          </w:rPr>
        </w:r>
        <w:r w:rsidR="002A00CD">
          <w:rPr>
            <w:noProof/>
            <w:webHidden/>
          </w:rPr>
          <w:fldChar w:fldCharType="separate"/>
        </w:r>
        <w:r w:rsidR="00A564BE">
          <w:rPr>
            <w:noProof/>
            <w:webHidden/>
          </w:rPr>
          <w:t>60</w:t>
        </w:r>
        <w:r w:rsidR="002A00CD">
          <w:rPr>
            <w:noProof/>
            <w:webHidden/>
          </w:rPr>
          <w:fldChar w:fldCharType="end"/>
        </w:r>
      </w:hyperlink>
    </w:p>
    <w:p w14:paraId="300B4613" w14:textId="4AF1D874"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0" w:history="1">
        <w:r w:rsidR="002A00CD" w:rsidRPr="0032438F">
          <w:rPr>
            <w:rStyle w:val="Hyperlink"/>
            <w:rFonts w:eastAsia="Calibri" w:cs="Arial"/>
            <w:noProof/>
          </w:rPr>
          <w:t>4.4.5</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COST REFLECTIVE TARIFFS</w:t>
        </w:r>
        <w:r w:rsidR="002A00CD">
          <w:rPr>
            <w:noProof/>
            <w:webHidden/>
          </w:rPr>
          <w:tab/>
        </w:r>
        <w:r w:rsidR="002A00CD">
          <w:rPr>
            <w:noProof/>
            <w:webHidden/>
          </w:rPr>
          <w:fldChar w:fldCharType="begin"/>
        </w:r>
        <w:r w:rsidR="002A00CD">
          <w:rPr>
            <w:noProof/>
            <w:webHidden/>
          </w:rPr>
          <w:instrText xml:space="preserve"> PAGEREF _Toc137732220 \h </w:instrText>
        </w:r>
        <w:r w:rsidR="002A00CD">
          <w:rPr>
            <w:noProof/>
            <w:webHidden/>
          </w:rPr>
        </w:r>
        <w:r w:rsidR="002A00CD">
          <w:rPr>
            <w:noProof/>
            <w:webHidden/>
          </w:rPr>
          <w:fldChar w:fldCharType="separate"/>
        </w:r>
        <w:r w:rsidR="00A564BE">
          <w:rPr>
            <w:noProof/>
            <w:webHidden/>
          </w:rPr>
          <w:t>61</w:t>
        </w:r>
        <w:r w:rsidR="002A00CD">
          <w:rPr>
            <w:noProof/>
            <w:webHidden/>
          </w:rPr>
          <w:fldChar w:fldCharType="end"/>
        </w:r>
      </w:hyperlink>
    </w:p>
    <w:p w14:paraId="3B8C228A" w14:textId="7D19C390"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1" w:history="1">
        <w:r w:rsidR="002A00CD" w:rsidRPr="0032438F">
          <w:rPr>
            <w:rStyle w:val="Hyperlink"/>
            <w:rFonts w:eastAsia="Calibri" w:cs="Arial"/>
            <w:noProof/>
          </w:rPr>
          <w:t>4.4.6</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INDIGENT MANAGEMENT</w:t>
        </w:r>
        <w:r w:rsidR="002A00CD">
          <w:rPr>
            <w:noProof/>
            <w:webHidden/>
          </w:rPr>
          <w:tab/>
        </w:r>
        <w:r w:rsidR="002A00CD">
          <w:rPr>
            <w:noProof/>
            <w:webHidden/>
          </w:rPr>
          <w:fldChar w:fldCharType="begin"/>
        </w:r>
        <w:r w:rsidR="002A00CD">
          <w:rPr>
            <w:noProof/>
            <w:webHidden/>
          </w:rPr>
          <w:instrText xml:space="preserve"> PAGEREF _Toc137732221 \h </w:instrText>
        </w:r>
        <w:r w:rsidR="002A00CD">
          <w:rPr>
            <w:noProof/>
            <w:webHidden/>
          </w:rPr>
        </w:r>
        <w:r w:rsidR="002A00CD">
          <w:rPr>
            <w:noProof/>
            <w:webHidden/>
          </w:rPr>
          <w:fldChar w:fldCharType="separate"/>
        </w:r>
        <w:r w:rsidR="00A564BE">
          <w:rPr>
            <w:noProof/>
            <w:webHidden/>
          </w:rPr>
          <w:t>62</w:t>
        </w:r>
        <w:r w:rsidR="002A00CD">
          <w:rPr>
            <w:noProof/>
            <w:webHidden/>
          </w:rPr>
          <w:fldChar w:fldCharType="end"/>
        </w:r>
      </w:hyperlink>
    </w:p>
    <w:p w14:paraId="0A15E798" w14:textId="5041A215"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2" w:history="1">
        <w:r w:rsidR="002A00CD" w:rsidRPr="0032438F">
          <w:rPr>
            <w:rStyle w:val="Hyperlink"/>
            <w:rFonts w:eastAsia="Calibri" w:cs="Arial"/>
            <w:noProof/>
          </w:rPr>
          <w:t>4.4.7</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SUPPLY CHAIN MANAGEMENT, COMPLIANCE AND VALUE FOR MONEY</w:t>
        </w:r>
        <w:r w:rsidR="002A00CD">
          <w:rPr>
            <w:noProof/>
            <w:webHidden/>
          </w:rPr>
          <w:tab/>
        </w:r>
        <w:r w:rsidR="002A00CD">
          <w:rPr>
            <w:noProof/>
            <w:webHidden/>
          </w:rPr>
          <w:fldChar w:fldCharType="begin"/>
        </w:r>
        <w:r w:rsidR="002A00CD">
          <w:rPr>
            <w:noProof/>
            <w:webHidden/>
          </w:rPr>
          <w:instrText xml:space="preserve"> PAGEREF _Toc137732222 \h </w:instrText>
        </w:r>
        <w:r w:rsidR="002A00CD">
          <w:rPr>
            <w:noProof/>
            <w:webHidden/>
          </w:rPr>
        </w:r>
        <w:r w:rsidR="002A00CD">
          <w:rPr>
            <w:noProof/>
            <w:webHidden/>
          </w:rPr>
          <w:fldChar w:fldCharType="separate"/>
        </w:r>
        <w:r w:rsidR="00A564BE">
          <w:rPr>
            <w:noProof/>
            <w:webHidden/>
          </w:rPr>
          <w:t>63</w:t>
        </w:r>
        <w:r w:rsidR="002A00CD">
          <w:rPr>
            <w:noProof/>
            <w:webHidden/>
          </w:rPr>
          <w:fldChar w:fldCharType="end"/>
        </w:r>
      </w:hyperlink>
    </w:p>
    <w:p w14:paraId="0562756F" w14:textId="290C9E2F"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3" w:history="1">
        <w:r w:rsidR="002A00CD" w:rsidRPr="0032438F">
          <w:rPr>
            <w:rStyle w:val="Hyperlink"/>
            <w:rFonts w:eastAsia="Calibri" w:cs="Arial"/>
            <w:noProof/>
          </w:rPr>
          <w:t>4.4.8</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CONTAINMENT AND CASH FLOW MANAGEMENT</w:t>
        </w:r>
        <w:r w:rsidR="002A00CD">
          <w:rPr>
            <w:noProof/>
            <w:webHidden/>
          </w:rPr>
          <w:tab/>
        </w:r>
        <w:r w:rsidR="002A00CD">
          <w:rPr>
            <w:noProof/>
            <w:webHidden/>
          </w:rPr>
          <w:fldChar w:fldCharType="begin"/>
        </w:r>
        <w:r w:rsidR="002A00CD">
          <w:rPr>
            <w:noProof/>
            <w:webHidden/>
          </w:rPr>
          <w:instrText xml:space="preserve"> PAGEREF _Toc137732223 \h </w:instrText>
        </w:r>
        <w:r w:rsidR="002A00CD">
          <w:rPr>
            <w:noProof/>
            <w:webHidden/>
          </w:rPr>
        </w:r>
        <w:r w:rsidR="002A00CD">
          <w:rPr>
            <w:noProof/>
            <w:webHidden/>
          </w:rPr>
          <w:fldChar w:fldCharType="separate"/>
        </w:r>
        <w:r w:rsidR="00A564BE">
          <w:rPr>
            <w:noProof/>
            <w:webHidden/>
          </w:rPr>
          <w:t>65</w:t>
        </w:r>
        <w:r w:rsidR="002A00CD">
          <w:rPr>
            <w:noProof/>
            <w:webHidden/>
          </w:rPr>
          <w:fldChar w:fldCharType="end"/>
        </w:r>
      </w:hyperlink>
    </w:p>
    <w:p w14:paraId="2D3FD42E" w14:textId="52E9AF04"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4" w:history="1">
        <w:r w:rsidR="002A00CD" w:rsidRPr="0032438F">
          <w:rPr>
            <w:rStyle w:val="Hyperlink"/>
            <w:rFonts w:eastAsia="Calibri" w:cs="Arial"/>
            <w:noProof/>
          </w:rPr>
          <w:t>4.4.9</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DEBT RESTRUCTURING</w:t>
        </w:r>
        <w:r w:rsidR="002A00CD">
          <w:rPr>
            <w:noProof/>
            <w:webHidden/>
          </w:rPr>
          <w:tab/>
        </w:r>
        <w:r w:rsidR="002A00CD">
          <w:rPr>
            <w:noProof/>
            <w:webHidden/>
          </w:rPr>
          <w:fldChar w:fldCharType="begin"/>
        </w:r>
        <w:r w:rsidR="002A00CD">
          <w:rPr>
            <w:noProof/>
            <w:webHidden/>
          </w:rPr>
          <w:instrText xml:space="preserve"> PAGEREF _Toc137732224 \h </w:instrText>
        </w:r>
        <w:r w:rsidR="002A00CD">
          <w:rPr>
            <w:noProof/>
            <w:webHidden/>
          </w:rPr>
        </w:r>
        <w:r w:rsidR="002A00CD">
          <w:rPr>
            <w:noProof/>
            <w:webHidden/>
          </w:rPr>
          <w:fldChar w:fldCharType="separate"/>
        </w:r>
        <w:r w:rsidR="00A564BE">
          <w:rPr>
            <w:noProof/>
            <w:webHidden/>
          </w:rPr>
          <w:t>65</w:t>
        </w:r>
        <w:r w:rsidR="002A00CD">
          <w:rPr>
            <w:noProof/>
            <w:webHidden/>
          </w:rPr>
          <w:fldChar w:fldCharType="end"/>
        </w:r>
      </w:hyperlink>
    </w:p>
    <w:p w14:paraId="04BBACAD" w14:textId="210D4226"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5" w:history="1">
        <w:r w:rsidR="002A00CD" w:rsidRPr="0032438F">
          <w:rPr>
            <w:rStyle w:val="Hyperlink"/>
            <w:rFonts w:eastAsia="Calibri" w:cs="Arial"/>
            <w:noProof/>
          </w:rPr>
          <w:t>4.4.10</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eastAsia="Calibri" w:cs="Arial"/>
            <w:noProof/>
          </w:rPr>
          <w:t>FINANCIAL CONTROL ENVIRONMENT</w:t>
        </w:r>
        <w:r w:rsidR="002A00CD">
          <w:rPr>
            <w:noProof/>
            <w:webHidden/>
          </w:rPr>
          <w:tab/>
        </w:r>
        <w:r w:rsidR="002A00CD">
          <w:rPr>
            <w:noProof/>
            <w:webHidden/>
          </w:rPr>
          <w:fldChar w:fldCharType="begin"/>
        </w:r>
        <w:r w:rsidR="002A00CD">
          <w:rPr>
            <w:noProof/>
            <w:webHidden/>
          </w:rPr>
          <w:instrText xml:space="preserve"> PAGEREF _Toc137732225 \h </w:instrText>
        </w:r>
        <w:r w:rsidR="002A00CD">
          <w:rPr>
            <w:noProof/>
            <w:webHidden/>
          </w:rPr>
        </w:r>
        <w:r w:rsidR="002A00CD">
          <w:rPr>
            <w:noProof/>
            <w:webHidden/>
          </w:rPr>
          <w:fldChar w:fldCharType="separate"/>
        </w:r>
        <w:r w:rsidR="00A564BE">
          <w:rPr>
            <w:noProof/>
            <w:webHidden/>
          </w:rPr>
          <w:t>67</w:t>
        </w:r>
        <w:r w:rsidR="002A00CD">
          <w:rPr>
            <w:noProof/>
            <w:webHidden/>
          </w:rPr>
          <w:fldChar w:fldCharType="end"/>
        </w:r>
      </w:hyperlink>
    </w:p>
    <w:p w14:paraId="2EDC12A9" w14:textId="2B39CD0A"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26" w:history="1">
        <w:r w:rsidR="002A00CD" w:rsidRPr="0032438F">
          <w:rPr>
            <w:rStyle w:val="Hyperlink"/>
            <w:noProof/>
          </w:rPr>
          <w:t>4.5</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SERVICE DELIVERY</w:t>
        </w:r>
        <w:r w:rsidR="002A00CD">
          <w:rPr>
            <w:noProof/>
            <w:webHidden/>
          </w:rPr>
          <w:tab/>
        </w:r>
        <w:r w:rsidR="002A00CD">
          <w:rPr>
            <w:noProof/>
            <w:webHidden/>
          </w:rPr>
          <w:fldChar w:fldCharType="begin"/>
        </w:r>
        <w:r w:rsidR="002A00CD">
          <w:rPr>
            <w:noProof/>
            <w:webHidden/>
          </w:rPr>
          <w:instrText xml:space="preserve"> PAGEREF _Toc137732226 \h </w:instrText>
        </w:r>
        <w:r w:rsidR="002A00CD">
          <w:rPr>
            <w:noProof/>
            <w:webHidden/>
          </w:rPr>
        </w:r>
        <w:r w:rsidR="002A00CD">
          <w:rPr>
            <w:noProof/>
            <w:webHidden/>
          </w:rPr>
          <w:fldChar w:fldCharType="separate"/>
        </w:r>
        <w:r w:rsidR="00A564BE">
          <w:rPr>
            <w:noProof/>
            <w:webHidden/>
          </w:rPr>
          <w:t>72</w:t>
        </w:r>
        <w:r w:rsidR="002A00CD">
          <w:rPr>
            <w:noProof/>
            <w:webHidden/>
          </w:rPr>
          <w:fldChar w:fldCharType="end"/>
        </w:r>
      </w:hyperlink>
    </w:p>
    <w:p w14:paraId="4BC49E82" w14:textId="1E26F613"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7" w:history="1">
        <w:r w:rsidR="002A00CD" w:rsidRPr="0032438F">
          <w:rPr>
            <w:rStyle w:val="Hyperlink"/>
            <w:rFonts w:cs="Arial"/>
            <w:noProof/>
          </w:rPr>
          <w:t>4.5.1</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BACKLOGS AND SERVICE LEVELS</w:t>
        </w:r>
        <w:r w:rsidR="002A00CD">
          <w:rPr>
            <w:noProof/>
            <w:webHidden/>
          </w:rPr>
          <w:tab/>
        </w:r>
        <w:r w:rsidR="002A00CD">
          <w:rPr>
            <w:noProof/>
            <w:webHidden/>
          </w:rPr>
          <w:fldChar w:fldCharType="begin"/>
        </w:r>
        <w:r w:rsidR="002A00CD">
          <w:rPr>
            <w:noProof/>
            <w:webHidden/>
          </w:rPr>
          <w:instrText xml:space="preserve"> PAGEREF _Toc137732227 \h </w:instrText>
        </w:r>
        <w:r w:rsidR="002A00CD">
          <w:rPr>
            <w:noProof/>
            <w:webHidden/>
          </w:rPr>
        </w:r>
        <w:r w:rsidR="002A00CD">
          <w:rPr>
            <w:noProof/>
            <w:webHidden/>
          </w:rPr>
          <w:fldChar w:fldCharType="separate"/>
        </w:r>
        <w:r w:rsidR="00A564BE">
          <w:rPr>
            <w:noProof/>
            <w:webHidden/>
          </w:rPr>
          <w:t>73</w:t>
        </w:r>
        <w:r w:rsidR="002A00CD">
          <w:rPr>
            <w:noProof/>
            <w:webHidden/>
          </w:rPr>
          <w:fldChar w:fldCharType="end"/>
        </w:r>
      </w:hyperlink>
    </w:p>
    <w:p w14:paraId="5101B525" w14:textId="3A6AA9A4"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8" w:history="1">
        <w:r w:rsidR="002A00CD" w:rsidRPr="0032438F">
          <w:rPr>
            <w:rStyle w:val="Hyperlink"/>
            <w:rFonts w:cs="Arial"/>
            <w:noProof/>
          </w:rPr>
          <w:t>4.5.4</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INFRASTRUCTURE FINANCIALS</w:t>
        </w:r>
        <w:r w:rsidR="002A00CD">
          <w:rPr>
            <w:noProof/>
            <w:webHidden/>
          </w:rPr>
          <w:tab/>
        </w:r>
        <w:r w:rsidR="002A00CD">
          <w:rPr>
            <w:noProof/>
            <w:webHidden/>
          </w:rPr>
          <w:fldChar w:fldCharType="begin"/>
        </w:r>
        <w:r w:rsidR="002A00CD">
          <w:rPr>
            <w:noProof/>
            <w:webHidden/>
          </w:rPr>
          <w:instrText xml:space="preserve"> PAGEREF _Toc137732228 \h </w:instrText>
        </w:r>
        <w:r w:rsidR="002A00CD">
          <w:rPr>
            <w:noProof/>
            <w:webHidden/>
          </w:rPr>
        </w:r>
        <w:r w:rsidR="002A00CD">
          <w:rPr>
            <w:noProof/>
            <w:webHidden/>
          </w:rPr>
          <w:fldChar w:fldCharType="separate"/>
        </w:r>
        <w:r w:rsidR="00A564BE">
          <w:rPr>
            <w:noProof/>
            <w:webHidden/>
          </w:rPr>
          <w:t>77</w:t>
        </w:r>
        <w:r w:rsidR="002A00CD">
          <w:rPr>
            <w:noProof/>
            <w:webHidden/>
          </w:rPr>
          <w:fldChar w:fldCharType="end"/>
        </w:r>
      </w:hyperlink>
    </w:p>
    <w:p w14:paraId="498F3710" w14:textId="394D45B5"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29" w:history="1">
        <w:r w:rsidR="002A00CD" w:rsidRPr="0032438F">
          <w:rPr>
            <w:rStyle w:val="Hyperlink"/>
            <w:rFonts w:cs="Arial"/>
            <w:noProof/>
          </w:rPr>
          <w:t>4.5.5</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IDP</w:t>
        </w:r>
        <w:r w:rsidR="002A00CD">
          <w:rPr>
            <w:noProof/>
            <w:webHidden/>
          </w:rPr>
          <w:tab/>
        </w:r>
        <w:r w:rsidR="0043290F">
          <w:rPr>
            <w:noProof/>
            <w:webHidden/>
          </w:rPr>
          <w:tab/>
        </w:r>
        <w:r w:rsidR="002A00CD">
          <w:rPr>
            <w:noProof/>
            <w:webHidden/>
          </w:rPr>
          <w:fldChar w:fldCharType="begin"/>
        </w:r>
        <w:r w:rsidR="002A00CD">
          <w:rPr>
            <w:noProof/>
            <w:webHidden/>
          </w:rPr>
          <w:instrText xml:space="preserve"> PAGEREF _Toc137732229 \h </w:instrText>
        </w:r>
        <w:r w:rsidR="002A00CD">
          <w:rPr>
            <w:noProof/>
            <w:webHidden/>
          </w:rPr>
        </w:r>
        <w:r w:rsidR="002A00CD">
          <w:rPr>
            <w:noProof/>
            <w:webHidden/>
          </w:rPr>
          <w:fldChar w:fldCharType="separate"/>
        </w:r>
        <w:r w:rsidR="00A564BE">
          <w:rPr>
            <w:noProof/>
            <w:webHidden/>
          </w:rPr>
          <w:t>79</w:t>
        </w:r>
        <w:r w:rsidR="002A00CD">
          <w:rPr>
            <w:noProof/>
            <w:webHidden/>
          </w:rPr>
          <w:fldChar w:fldCharType="end"/>
        </w:r>
      </w:hyperlink>
    </w:p>
    <w:p w14:paraId="16404CDD" w14:textId="6BF91DDD"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30" w:history="1">
        <w:r w:rsidR="002A00CD" w:rsidRPr="0032438F">
          <w:rPr>
            <w:rStyle w:val="Hyperlink"/>
            <w:rFonts w:cs="Arial"/>
            <w:noProof/>
          </w:rPr>
          <w:t>4.5.6</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ADEQUACY OF REPAIRS AND MAINTENANCE</w:t>
        </w:r>
        <w:r w:rsidR="002A00CD">
          <w:rPr>
            <w:noProof/>
            <w:webHidden/>
          </w:rPr>
          <w:tab/>
        </w:r>
        <w:r w:rsidR="002A00CD">
          <w:rPr>
            <w:noProof/>
            <w:webHidden/>
          </w:rPr>
          <w:fldChar w:fldCharType="begin"/>
        </w:r>
        <w:r w:rsidR="002A00CD">
          <w:rPr>
            <w:noProof/>
            <w:webHidden/>
          </w:rPr>
          <w:instrText xml:space="preserve"> PAGEREF _Toc137732230 \h </w:instrText>
        </w:r>
        <w:r w:rsidR="002A00CD">
          <w:rPr>
            <w:noProof/>
            <w:webHidden/>
          </w:rPr>
        </w:r>
        <w:r w:rsidR="002A00CD">
          <w:rPr>
            <w:noProof/>
            <w:webHidden/>
          </w:rPr>
          <w:fldChar w:fldCharType="separate"/>
        </w:r>
        <w:r w:rsidR="00A564BE">
          <w:rPr>
            <w:noProof/>
            <w:webHidden/>
          </w:rPr>
          <w:t>85</w:t>
        </w:r>
        <w:r w:rsidR="002A00CD">
          <w:rPr>
            <w:noProof/>
            <w:webHidden/>
          </w:rPr>
          <w:fldChar w:fldCharType="end"/>
        </w:r>
      </w:hyperlink>
    </w:p>
    <w:p w14:paraId="3BD16AEA" w14:textId="2438FC0F"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31" w:history="1">
        <w:r w:rsidR="002A00CD" w:rsidRPr="0032438F">
          <w:rPr>
            <w:rStyle w:val="Hyperlink"/>
            <w:rFonts w:cs="Arial"/>
            <w:noProof/>
          </w:rPr>
          <w:t>4.5.7</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ELECTRICITY AND WATER REVENUE LOSSES</w:t>
        </w:r>
        <w:r w:rsidR="002A00CD">
          <w:rPr>
            <w:noProof/>
            <w:webHidden/>
          </w:rPr>
          <w:tab/>
        </w:r>
        <w:r w:rsidR="002A00CD">
          <w:rPr>
            <w:noProof/>
            <w:webHidden/>
          </w:rPr>
          <w:fldChar w:fldCharType="begin"/>
        </w:r>
        <w:r w:rsidR="002A00CD">
          <w:rPr>
            <w:noProof/>
            <w:webHidden/>
          </w:rPr>
          <w:instrText xml:space="preserve"> PAGEREF _Toc137732231 \h </w:instrText>
        </w:r>
        <w:r w:rsidR="002A00CD">
          <w:rPr>
            <w:noProof/>
            <w:webHidden/>
          </w:rPr>
        </w:r>
        <w:r w:rsidR="002A00CD">
          <w:rPr>
            <w:noProof/>
            <w:webHidden/>
          </w:rPr>
          <w:fldChar w:fldCharType="separate"/>
        </w:r>
        <w:r w:rsidR="00A564BE">
          <w:rPr>
            <w:noProof/>
            <w:webHidden/>
          </w:rPr>
          <w:t>85</w:t>
        </w:r>
        <w:r w:rsidR="002A00CD">
          <w:rPr>
            <w:noProof/>
            <w:webHidden/>
          </w:rPr>
          <w:fldChar w:fldCharType="end"/>
        </w:r>
      </w:hyperlink>
    </w:p>
    <w:p w14:paraId="6BFF686C" w14:textId="2EF234A8"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32" w:history="1">
        <w:r w:rsidR="002A00CD" w:rsidRPr="0032438F">
          <w:rPr>
            <w:rStyle w:val="Hyperlink"/>
            <w:rFonts w:cs="Arial"/>
            <w:noProof/>
          </w:rPr>
          <w:t>4.5.8</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WORKSHOP CONCLUSIONS</w:t>
        </w:r>
        <w:r w:rsidR="002A00CD">
          <w:rPr>
            <w:noProof/>
            <w:webHidden/>
          </w:rPr>
          <w:tab/>
        </w:r>
        <w:r w:rsidR="002A00CD">
          <w:rPr>
            <w:noProof/>
            <w:webHidden/>
          </w:rPr>
          <w:fldChar w:fldCharType="begin"/>
        </w:r>
        <w:r w:rsidR="002A00CD">
          <w:rPr>
            <w:noProof/>
            <w:webHidden/>
          </w:rPr>
          <w:instrText xml:space="preserve"> PAGEREF _Toc137732232 \h </w:instrText>
        </w:r>
        <w:r w:rsidR="002A00CD">
          <w:rPr>
            <w:noProof/>
            <w:webHidden/>
          </w:rPr>
        </w:r>
        <w:r w:rsidR="002A00CD">
          <w:rPr>
            <w:noProof/>
            <w:webHidden/>
          </w:rPr>
          <w:fldChar w:fldCharType="separate"/>
        </w:r>
        <w:r w:rsidR="00A564BE">
          <w:rPr>
            <w:noProof/>
            <w:webHidden/>
          </w:rPr>
          <w:t>87</w:t>
        </w:r>
        <w:r w:rsidR="002A00CD">
          <w:rPr>
            <w:noProof/>
            <w:webHidden/>
          </w:rPr>
          <w:fldChar w:fldCharType="end"/>
        </w:r>
      </w:hyperlink>
    </w:p>
    <w:p w14:paraId="4055FA22" w14:textId="15E71962" w:rsidR="002A00CD" w:rsidRDefault="00810B62">
      <w:pPr>
        <w:pStyle w:val="TOC3"/>
        <w:rPr>
          <w:rFonts w:asciiTheme="minorHAnsi" w:eastAsiaTheme="minorEastAsia" w:hAnsiTheme="minorHAnsi" w:cstheme="minorBidi"/>
          <w:b w:val="0"/>
          <w:noProof/>
          <w:color w:val="auto"/>
          <w:kern w:val="2"/>
          <w:szCs w:val="22"/>
          <w:lang w:val="en-ZA" w:eastAsia="en-ZA"/>
          <w14:ligatures w14:val="standardContextual"/>
        </w:rPr>
      </w:pPr>
      <w:hyperlink w:anchor="_Toc137732233" w:history="1">
        <w:r w:rsidR="002A00CD" w:rsidRPr="0032438F">
          <w:rPr>
            <w:rStyle w:val="Hyperlink"/>
            <w:rFonts w:cs="Arial"/>
            <w:noProof/>
          </w:rPr>
          <w:t>4.5.9</w:t>
        </w:r>
        <w:r w:rsidR="002A00CD">
          <w:rPr>
            <w:rFonts w:asciiTheme="minorHAnsi" w:eastAsiaTheme="minorEastAsia" w:hAnsiTheme="minorHAnsi" w:cstheme="minorBidi"/>
            <w:b w:val="0"/>
            <w:noProof/>
            <w:color w:val="auto"/>
            <w:kern w:val="2"/>
            <w:szCs w:val="22"/>
            <w:lang w:val="en-ZA" w:eastAsia="en-ZA"/>
            <w14:ligatures w14:val="standardContextual"/>
          </w:rPr>
          <w:tab/>
        </w:r>
        <w:r w:rsidR="002A00CD" w:rsidRPr="0032438F">
          <w:rPr>
            <w:rStyle w:val="Hyperlink"/>
            <w:rFonts w:cs="Arial"/>
            <w:noProof/>
          </w:rPr>
          <w:t>SUMMARY AND CONCLUSIONS</w:t>
        </w:r>
        <w:r w:rsidR="002A00CD">
          <w:rPr>
            <w:noProof/>
            <w:webHidden/>
          </w:rPr>
          <w:tab/>
        </w:r>
        <w:r w:rsidR="002A00CD">
          <w:rPr>
            <w:noProof/>
            <w:webHidden/>
          </w:rPr>
          <w:fldChar w:fldCharType="begin"/>
        </w:r>
        <w:r w:rsidR="002A00CD">
          <w:rPr>
            <w:noProof/>
            <w:webHidden/>
          </w:rPr>
          <w:instrText xml:space="preserve"> PAGEREF _Toc137732233 \h </w:instrText>
        </w:r>
        <w:r w:rsidR="002A00CD">
          <w:rPr>
            <w:noProof/>
            <w:webHidden/>
          </w:rPr>
        </w:r>
        <w:r w:rsidR="002A00CD">
          <w:rPr>
            <w:noProof/>
            <w:webHidden/>
          </w:rPr>
          <w:fldChar w:fldCharType="separate"/>
        </w:r>
        <w:r w:rsidR="00A564BE">
          <w:rPr>
            <w:noProof/>
            <w:webHidden/>
          </w:rPr>
          <w:t>89</w:t>
        </w:r>
        <w:r w:rsidR="002A00CD">
          <w:rPr>
            <w:noProof/>
            <w:webHidden/>
          </w:rPr>
          <w:fldChar w:fldCharType="end"/>
        </w:r>
      </w:hyperlink>
    </w:p>
    <w:p w14:paraId="3D69D0C7" w14:textId="7EF7E244"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34" w:history="1">
        <w:r w:rsidR="002A00CD" w:rsidRPr="0032438F">
          <w:rPr>
            <w:rStyle w:val="Hyperlink"/>
            <w:noProof/>
            <w14:scene3d>
              <w14:camera w14:prst="orthographicFront"/>
              <w14:lightRig w14:rig="threePt" w14:dir="t">
                <w14:rot w14:lat="0" w14:lon="0" w14:rev="0"/>
              </w14:lightRig>
            </w14:scene3d>
          </w:rPr>
          <w:t>5.</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PART THREE – IMPLEMENTATION PHASES</w:t>
        </w:r>
        <w:r w:rsidR="002A00CD">
          <w:rPr>
            <w:noProof/>
            <w:webHidden/>
          </w:rPr>
          <w:tab/>
        </w:r>
        <w:r w:rsidR="002A00CD">
          <w:rPr>
            <w:noProof/>
            <w:webHidden/>
          </w:rPr>
          <w:fldChar w:fldCharType="begin"/>
        </w:r>
        <w:r w:rsidR="002A00CD">
          <w:rPr>
            <w:noProof/>
            <w:webHidden/>
          </w:rPr>
          <w:instrText xml:space="preserve"> PAGEREF _Toc137732234 \h </w:instrText>
        </w:r>
        <w:r w:rsidR="002A00CD">
          <w:rPr>
            <w:noProof/>
            <w:webHidden/>
          </w:rPr>
        </w:r>
        <w:r w:rsidR="002A00CD">
          <w:rPr>
            <w:noProof/>
            <w:webHidden/>
          </w:rPr>
          <w:fldChar w:fldCharType="separate"/>
        </w:r>
        <w:r w:rsidR="00A564BE">
          <w:rPr>
            <w:noProof/>
            <w:webHidden/>
          </w:rPr>
          <w:t>91</w:t>
        </w:r>
        <w:r w:rsidR="002A00CD">
          <w:rPr>
            <w:noProof/>
            <w:webHidden/>
          </w:rPr>
          <w:fldChar w:fldCharType="end"/>
        </w:r>
      </w:hyperlink>
    </w:p>
    <w:p w14:paraId="1F7B47C0" w14:textId="3375E09E"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35" w:history="1">
        <w:r w:rsidR="002A00CD" w:rsidRPr="0032438F">
          <w:rPr>
            <w:rStyle w:val="Hyperlink"/>
            <w:noProof/>
          </w:rPr>
          <w:t>5.1</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RESCUE PHASE (6 -12 MONTHS)</w:t>
        </w:r>
        <w:r w:rsidR="002A00CD">
          <w:rPr>
            <w:noProof/>
            <w:webHidden/>
          </w:rPr>
          <w:tab/>
        </w:r>
        <w:r w:rsidR="002A00CD">
          <w:rPr>
            <w:noProof/>
            <w:webHidden/>
          </w:rPr>
          <w:fldChar w:fldCharType="begin"/>
        </w:r>
        <w:r w:rsidR="002A00CD">
          <w:rPr>
            <w:noProof/>
            <w:webHidden/>
          </w:rPr>
          <w:instrText xml:space="preserve"> PAGEREF _Toc137732235 \h </w:instrText>
        </w:r>
        <w:r w:rsidR="002A00CD">
          <w:rPr>
            <w:noProof/>
            <w:webHidden/>
          </w:rPr>
        </w:r>
        <w:r w:rsidR="002A00CD">
          <w:rPr>
            <w:noProof/>
            <w:webHidden/>
          </w:rPr>
          <w:fldChar w:fldCharType="separate"/>
        </w:r>
        <w:r w:rsidR="00A564BE">
          <w:rPr>
            <w:noProof/>
            <w:webHidden/>
          </w:rPr>
          <w:t>91</w:t>
        </w:r>
        <w:r w:rsidR="002A00CD">
          <w:rPr>
            <w:noProof/>
            <w:webHidden/>
          </w:rPr>
          <w:fldChar w:fldCharType="end"/>
        </w:r>
      </w:hyperlink>
    </w:p>
    <w:p w14:paraId="577C41FA" w14:textId="7262F48B"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36" w:history="1">
        <w:r w:rsidR="002A00CD" w:rsidRPr="0032438F">
          <w:rPr>
            <w:rStyle w:val="Hyperlink"/>
            <w:noProof/>
          </w:rPr>
          <w:t>5.2</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STABILISATION PHASE (13-24 MONTHS)</w:t>
        </w:r>
        <w:r w:rsidR="002A00CD">
          <w:rPr>
            <w:noProof/>
            <w:webHidden/>
          </w:rPr>
          <w:tab/>
        </w:r>
        <w:r w:rsidR="002A00CD">
          <w:rPr>
            <w:noProof/>
            <w:webHidden/>
          </w:rPr>
          <w:fldChar w:fldCharType="begin"/>
        </w:r>
        <w:r w:rsidR="002A00CD">
          <w:rPr>
            <w:noProof/>
            <w:webHidden/>
          </w:rPr>
          <w:instrText xml:space="preserve"> PAGEREF _Toc137732236 \h </w:instrText>
        </w:r>
        <w:r w:rsidR="002A00CD">
          <w:rPr>
            <w:noProof/>
            <w:webHidden/>
          </w:rPr>
        </w:r>
        <w:r w:rsidR="002A00CD">
          <w:rPr>
            <w:noProof/>
            <w:webHidden/>
          </w:rPr>
          <w:fldChar w:fldCharType="separate"/>
        </w:r>
        <w:r w:rsidR="00A564BE">
          <w:rPr>
            <w:noProof/>
            <w:webHidden/>
          </w:rPr>
          <w:t>91</w:t>
        </w:r>
        <w:r w:rsidR="002A00CD">
          <w:rPr>
            <w:noProof/>
            <w:webHidden/>
          </w:rPr>
          <w:fldChar w:fldCharType="end"/>
        </w:r>
      </w:hyperlink>
    </w:p>
    <w:p w14:paraId="54FBFA9F" w14:textId="64802B0D"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37" w:history="1">
        <w:r w:rsidR="002A00CD" w:rsidRPr="0032438F">
          <w:rPr>
            <w:rStyle w:val="Hyperlink"/>
            <w:noProof/>
          </w:rPr>
          <w:t>5.3</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SUSTAINABILITY PHASE (FROM 25 MONTHS ONWARDS)</w:t>
        </w:r>
        <w:r w:rsidR="002A00CD">
          <w:rPr>
            <w:noProof/>
            <w:webHidden/>
          </w:rPr>
          <w:tab/>
        </w:r>
        <w:r w:rsidR="002A00CD">
          <w:rPr>
            <w:noProof/>
            <w:webHidden/>
          </w:rPr>
          <w:fldChar w:fldCharType="begin"/>
        </w:r>
        <w:r w:rsidR="002A00CD">
          <w:rPr>
            <w:noProof/>
            <w:webHidden/>
          </w:rPr>
          <w:instrText xml:space="preserve"> PAGEREF _Toc137732237 \h </w:instrText>
        </w:r>
        <w:r w:rsidR="002A00CD">
          <w:rPr>
            <w:noProof/>
            <w:webHidden/>
          </w:rPr>
        </w:r>
        <w:r w:rsidR="002A00CD">
          <w:rPr>
            <w:noProof/>
            <w:webHidden/>
          </w:rPr>
          <w:fldChar w:fldCharType="separate"/>
        </w:r>
        <w:r w:rsidR="00A564BE">
          <w:rPr>
            <w:noProof/>
            <w:webHidden/>
          </w:rPr>
          <w:t>92</w:t>
        </w:r>
        <w:r w:rsidR="002A00CD">
          <w:rPr>
            <w:noProof/>
            <w:webHidden/>
          </w:rPr>
          <w:fldChar w:fldCharType="end"/>
        </w:r>
      </w:hyperlink>
    </w:p>
    <w:p w14:paraId="61CA87B1" w14:textId="4469A897"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38" w:history="1">
        <w:r w:rsidR="002A00CD" w:rsidRPr="0032438F">
          <w:rPr>
            <w:rStyle w:val="Hyperlink"/>
            <w:noProof/>
            <w14:scene3d>
              <w14:camera w14:prst="orthographicFront"/>
              <w14:lightRig w14:rig="threePt" w14:dir="t">
                <w14:rot w14:lat="0" w14:lon="0" w14:rev="0"/>
              </w14:lightRig>
            </w14:scene3d>
          </w:rPr>
          <w:t>6.</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PART FOUR – REPORTING FRAMEWORK</w:t>
        </w:r>
        <w:r w:rsidR="002A00CD">
          <w:rPr>
            <w:noProof/>
            <w:webHidden/>
          </w:rPr>
          <w:tab/>
        </w:r>
        <w:r w:rsidR="002A00CD">
          <w:rPr>
            <w:noProof/>
            <w:webHidden/>
          </w:rPr>
          <w:fldChar w:fldCharType="begin"/>
        </w:r>
        <w:r w:rsidR="002A00CD">
          <w:rPr>
            <w:noProof/>
            <w:webHidden/>
          </w:rPr>
          <w:instrText xml:space="preserve"> PAGEREF _Toc137732238 \h </w:instrText>
        </w:r>
        <w:r w:rsidR="002A00CD">
          <w:rPr>
            <w:noProof/>
            <w:webHidden/>
          </w:rPr>
        </w:r>
        <w:r w:rsidR="002A00CD">
          <w:rPr>
            <w:noProof/>
            <w:webHidden/>
          </w:rPr>
          <w:fldChar w:fldCharType="separate"/>
        </w:r>
        <w:r w:rsidR="00A564BE">
          <w:rPr>
            <w:noProof/>
            <w:webHidden/>
          </w:rPr>
          <w:t>93</w:t>
        </w:r>
        <w:r w:rsidR="002A00CD">
          <w:rPr>
            <w:noProof/>
            <w:webHidden/>
          </w:rPr>
          <w:fldChar w:fldCharType="end"/>
        </w:r>
      </w:hyperlink>
    </w:p>
    <w:p w14:paraId="31C47AA7" w14:textId="4A1E241B"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39" w:history="1">
        <w:r w:rsidR="002A00CD" w:rsidRPr="0032438F">
          <w:rPr>
            <w:rStyle w:val="Hyperlink"/>
            <w:noProof/>
          </w:rPr>
          <w:t>6.1</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REPORTING FRAMEWORK</w:t>
        </w:r>
        <w:r w:rsidR="002A00CD">
          <w:rPr>
            <w:noProof/>
            <w:webHidden/>
          </w:rPr>
          <w:tab/>
        </w:r>
        <w:r w:rsidR="002A00CD">
          <w:rPr>
            <w:noProof/>
            <w:webHidden/>
          </w:rPr>
          <w:fldChar w:fldCharType="begin"/>
        </w:r>
        <w:r w:rsidR="002A00CD">
          <w:rPr>
            <w:noProof/>
            <w:webHidden/>
          </w:rPr>
          <w:instrText xml:space="preserve"> PAGEREF _Toc137732239 \h </w:instrText>
        </w:r>
        <w:r w:rsidR="002A00CD">
          <w:rPr>
            <w:noProof/>
            <w:webHidden/>
          </w:rPr>
        </w:r>
        <w:r w:rsidR="002A00CD">
          <w:rPr>
            <w:noProof/>
            <w:webHidden/>
          </w:rPr>
          <w:fldChar w:fldCharType="separate"/>
        </w:r>
        <w:r w:rsidR="00A564BE">
          <w:rPr>
            <w:noProof/>
            <w:webHidden/>
          </w:rPr>
          <w:t>93</w:t>
        </w:r>
        <w:r w:rsidR="002A00CD">
          <w:rPr>
            <w:noProof/>
            <w:webHidden/>
          </w:rPr>
          <w:fldChar w:fldCharType="end"/>
        </w:r>
      </w:hyperlink>
    </w:p>
    <w:p w14:paraId="59A21AFA" w14:textId="3F2956A0"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40" w:history="1">
        <w:r w:rsidR="002A00CD" w:rsidRPr="0032438F">
          <w:rPr>
            <w:rStyle w:val="Hyperlink"/>
            <w:noProof/>
            <w14:scene3d>
              <w14:camera w14:prst="orthographicFront"/>
              <w14:lightRig w14:rig="threePt" w14:dir="t">
                <w14:rot w14:lat="0" w14:lon="0" w14:rev="0"/>
              </w14:lightRig>
            </w14:scene3d>
          </w:rPr>
          <w:t>7.</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CONCLUSION</w:t>
        </w:r>
        <w:r w:rsidR="002A00CD">
          <w:rPr>
            <w:noProof/>
            <w:webHidden/>
          </w:rPr>
          <w:tab/>
        </w:r>
        <w:r w:rsidR="002A00CD">
          <w:rPr>
            <w:noProof/>
            <w:webHidden/>
          </w:rPr>
          <w:fldChar w:fldCharType="begin"/>
        </w:r>
        <w:r w:rsidR="002A00CD">
          <w:rPr>
            <w:noProof/>
            <w:webHidden/>
          </w:rPr>
          <w:instrText xml:space="preserve"> PAGEREF _Toc137732240 \h </w:instrText>
        </w:r>
        <w:r w:rsidR="002A00CD">
          <w:rPr>
            <w:noProof/>
            <w:webHidden/>
          </w:rPr>
        </w:r>
        <w:r w:rsidR="002A00CD">
          <w:rPr>
            <w:noProof/>
            <w:webHidden/>
          </w:rPr>
          <w:fldChar w:fldCharType="separate"/>
        </w:r>
        <w:r w:rsidR="00A564BE">
          <w:rPr>
            <w:noProof/>
            <w:webHidden/>
          </w:rPr>
          <w:t>95</w:t>
        </w:r>
        <w:r w:rsidR="002A00CD">
          <w:rPr>
            <w:noProof/>
            <w:webHidden/>
          </w:rPr>
          <w:fldChar w:fldCharType="end"/>
        </w:r>
      </w:hyperlink>
    </w:p>
    <w:p w14:paraId="3AF1DF82" w14:textId="34C2EEC6"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41" w:history="1">
        <w:r w:rsidR="002A00CD" w:rsidRPr="0032438F">
          <w:rPr>
            <w:rStyle w:val="Hyperlink"/>
            <w:noProof/>
            <w14:scene3d>
              <w14:camera w14:prst="orthographicFront"/>
              <w14:lightRig w14:rig="threePt" w14:dir="t">
                <w14:rot w14:lat="0" w14:lon="0" w14:rev="0"/>
              </w14:lightRig>
            </w14:scene3d>
          </w:rPr>
          <w:t>8.</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ANNEXURE A: IMPLEMENTATION PHASES BASED ON KEY STATUS QUO FINDINGS</w:t>
        </w:r>
        <w:r w:rsidR="002A00CD">
          <w:rPr>
            <w:noProof/>
            <w:webHidden/>
          </w:rPr>
          <w:tab/>
        </w:r>
        <w:r w:rsidR="002A00CD">
          <w:rPr>
            <w:noProof/>
            <w:webHidden/>
          </w:rPr>
          <w:fldChar w:fldCharType="begin"/>
        </w:r>
        <w:r w:rsidR="002A00CD">
          <w:rPr>
            <w:noProof/>
            <w:webHidden/>
          </w:rPr>
          <w:instrText xml:space="preserve"> PAGEREF _Toc137732241 \h </w:instrText>
        </w:r>
        <w:r w:rsidR="002A00CD">
          <w:rPr>
            <w:noProof/>
            <w:webHidden/>
          </w:rPr>
        </w:r>
        <w:r w:rsidR="002A00CD">
          <w:rPr>
            <w:noProof/>
            <w:webHidden/>
          </w:rPr>
          <w:fldChar w:fldCharType="separate"/>
        </w:r>
        <w:r w:rsidR="00A564BE">
          <w:rPr>
            <w:noProof/>
            <w:webHidden/>
          </w:rPr>
          <w:t>97</w:t>
        </w:r>
        <w:r w:rsidR="002A00CD">
          <w:rPr>
            <w:noProof/>
            <w:webHidden/>
          </w:rPr>
          <w:fldChar w:fldCharType="end"/>
        </w:r>
      </w:hyperlink>
    </w:p>
    <w:p w14:paraId="6C184D46" w14:textId="2F6BA547"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42" w:history="1">
        <w:r w:rsidR="002A00CD" w:rsidRPr="0032438F">
          <w:rPr>
            <w:rStyle w:val="Hyperlink"/>
            <w:noProof/>
          </w:rPr>
          <w:t>8.1</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GOVERNANCE</w:t>
        </w:r>
        <w:r w:rsidR="002A00CD">
          <w:rPr>
            <w:noProof/>
            <w:webHidden/>
          </w:rPr>
          <w:tab/>
        </w:r>
        <w:r w:rsidR="002A00CD">
          <w:rPr>
            <w:noProof/>
            <w:webHidden/>
          </w:rPr>
          <w:fldChar w:fldCharType="begin"/>
        </w:r>
        <w:r w:rsidR="002A00CD">
          <w:rPr>
            <w:noProof/>
            <w:webHidden/>
          </w:rPr>
          <w:instrText xml:space="preserve"> PAGEREF _Toc137732242 \h </w:instrText>
        </w:r>
        <w:r w:rsidR="002A00CD">
          <w:rPr>
            <w:noProof/>
            <w:webHidden/>
          </w:rPr>
        </w:r>
        <w:r w:rsidR="002A00CD">
          <w:rPr>
            <w:noProof/>
            <w:webHidden/>
          </w:rPr>
          <w:fldChar w:fldCharType="separate"/>
        </w:r>
        <w:r w:rsidR="00A564BE">
          <w:rPr>
            <w:noProof/>
            <w:webHidden/>
          </w:rPr>
          <w:t>97</w:t>
        </w:r>
        <w:r w:rsidR="002A00CD">
          <w:rPr>
            <w:noProof/>
            <w:webHidden/>
          </w:rPr>
          <w:fldChar w:fldCharType="end"/>
        </w:r>
      </w:hyperlink>
    </w:p>
    <w:p w14:paraId="7B596878" w14:textId="3D3DDDC9"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43" w:history="1">
        <w:r w:rsidR="002A00CD" w:rsidRPr="0032438F">
          <w:rPr>
            <w:rStyle w:val="Hyperlink"/>
            <w:noProof/>
          </w:rPr>
          <w:t>8.2</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INSTITUTIONAL</w:t>
        </w:r>
        <w:r w:rsidR="002A00CD">
          <w:rPr>
            <w:noProof/>
            <w:webHidden/>
          </w:rPr>
          <w:tab/>
        </w:r>
        <w:r w:rsidR="002A00CD">
          <w:rPr>
            <w:noProof/>
            <w:webHidden/>
          </w:rPr>
          <w:fldChar w:fldCharType="begin"/>
        </w:r>
        <w:r w:rsidR="002A00CD">
          <w:rPr>
            <w:noProof/>
            <w:webHidden/>
          </w:rPr>
          <w:instrText xml:space="preserve"> PAGEREF _Toc137732243 \h </w:instrText>
        </w:r>
        <w:r w:rsidR="002A00CD">
          <w:rPr>
            <w:noProof/>
            <w:webHidden/>
          </w:rPr>
        </w:r>
        <w:r w:rsidR="002A00CD">
          <w:rPr>
            <w:noProof/>
            <w:webHidden/>
          </w:rPr>
          <w:fldChar w:fldCharType="separate"/>
        </w:r>
        <w:r w:rsidR="00A564BE">
          <w:rPr>
            <w:noProof/>
            <w:webHidden/>
          </w:rPr>
          <w:t>98</w:t>
        </w:r>
        <w:r w:rsidR="002A00CD">
          <w:rPr>
            <w:noProof/>
            <w:webHidden/>
          </w:rPr>
          <w:fldChar w:fldCharType="end"/>
        </w:r>
      </w:hyperlink>
    </w:p>
    <w:p w14:paraId="3009AF1E" w14:textId="7D66FCD6"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44" w:history="1">
        <w:r w:rsidR="002A00CD" w:rsidRPr="0032438F">
          <w:rPr>
            <w:rStyle w:val="Hyperlink"/>
            <w:noProof/>
          </w:rPr>
          <w:t>8.3</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FINANCIAL HEALTH</w:t>
        </w:r>
        <w:r w:rsidR="002A00CD">
          <w:rPr>
            <w:noProof/>
            <w:webHidden/>
          </w:rPr>
          <w:tab/>
        </w:r>
        <w:r w:rsidR="002A00CD">
          <w:rPr>
            <w:noProof/>
            <w:webHidden/>
          </w:rPr>
          <w:fldChar w:fldCharType="begin"/>
        </w:r>
        <w:r w:rsidR="002A00CD">
          <w:rPr>
            <w:noProof/>
            <w:webHidden/>
          </w:rPr>
          <w:instrText xml:space="preserve"> PAGEREF _Toc137732244 \h </w:instrText>
        </w:r>
        <w:r w:rsidR="002A00CD">
          <w:rPr>
            <w:noProof/>
            <w:webHidden/>
          </w:rPr>
        </w:r>
        <w:r w:rsidR="002A00CD">
          <w:rPr>
            <w:noProof/>
            <w:webHidden/>
          </w:rPr>
          <w:fldChar w:fldCharType="separate"/>
        </w:r>
        <w:r w:rsidR="00A564BE">
          <w:rPr>
            <w:noProof/>
            <w:webHidden/>
          </w:rPr>
          <w:t>99</w:t>
        </w:r>
        <w:r w:rsidR="002A00CD">
          <w:rPr>
            <w:noProof/>
            <w:webHidden/>
          </w:rPr>
          <w:fldChar w:fldCharType="end"/>
        </w:r>
      </w:hyperlink>
    </w:p>
    <w:p w14:paraId="7E8FDE8C" w14:textId="29EA8219" w:rsidR="002A00CD" w:rsidRDefault="00810B62">
      <w:pPr>
        <w:pStyle w:val="TOC2"/>
        <w:rPr>
          <w:rFonts w:asciiTheme="minorHAnsi" w:eastAsiaTheme="minorEastAsia" w:hAnsiTheme="minorHAnsi" w:cstheme="minorBidi"/>
          <w:noProof/>
          <w:kern w:val="2"/>
          <w:szCs w:val="22"/>
          <w:lang w:val="en-ZA" w:eastAsia="en-ZA"/>
          <w14:ligatures w14:val="standardContextual"/>
        </w:rPr>
      </w:pPr>
      <w:hyperlink w:anchor="_Toc137732245" w:history="1">
        <w:r w:rsidR="002A00CD" w:rsidRPr="0032438F">
          <w:rPr>
            <w:rStyle w:val="Hyperlink"/>
            <w:noProof/>
          </w:rPr>
          <w:t>8.4</w:t>
        </w:r>
        <w:r w:rsidR="002A00CD">
          <w:rPr>
            <w:rFonts w:asciiTheme="minorHAnsi" w:eastAsiaTheme="minorEastAsia" w:hAnsiTheme="minorHAnsi" w:cstheme="minorBidi"/>
            <w:noProof/>
            <w:kern w:val="2"/>
            <w:szCs w:val="22"/>
            <w:lang w:val="en-ZA" w:eastAsia="en-ZA"/>
            <w14:ligatures w14:val="standardContextual"/>
          </w:rPr>
          <w:tab/>
        </w:r>
        <w:r w:rsidR="002A00CD" w:rsidRPr="0032438F">
          <w:rPr>
            <w:rStyle w:val="Hyperlink"/>
            <w:noProof/>
          </w:rPr>
          <w:t>SERVICE DELIVERY</w:t>
        </w:r>
        <w:r w:rsidR="002A00CD">
          <w:rPr>
            <w:noProof/>
            <w:webHidden/>
          </w:rPr>
          <w:tab/>
        </w:r>
        <w:r w:rsidR="002A00CD">
          <w:rPr>
            <w:noProof/>
            <w:webHidden/>
          </w:rPr>
          <w:fldChar w:fldCharType="begin"/>
        </w:r>
        <w:r w:rsidR="002A00CD">
          <w:rPr>
            <w:noProof/>
            <w:webHidden/>
          </w:rPr>
          <w:instrText xml:space="preserve"> PAGEREF _Toc137732245 \h </w:instrText>
        </w:r>
        <w:r w:rsidR="002A00CD">
          <w:rPr>
            <w:noProof/>
            <w:webHidden/>
          </w:rPr>
        </w:r>
        <w:r w:rsidR="002A00CD">
          <w:rPr>
            <w:noProof/>
            <w:webHidden/>
          </w:rPr>
          <w:fldChar w:fldCharType="separate"/>
        </w:r>
        <w:r w:rsidR="00A564BE">
          <w:rPr>
            <w:noProof/>
            <w:webHidden/>
          </w:rPr>
          <w:t>100</w:t>
        </w:r>
        <w:r w:rsidR="002A00CD">
          <w:rPr>
            <w:noProof/>
            <w:webHidden/>
          </w:rPr>
          <w:fldChar w:fldCharType="end"/>
        </w:r>
      </w:hyperlink>
    </w:p>
    <w:p w14:paraId="70599A17" w14:textId="6D9CD387"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46" w:history="1">
        <w:r w:rsidR="002A00CD" w:rsidRPr="0032438F">
          <w:rPr>
            <w:rStyle w:val="Hyperlink"/>
            <w:noProof/>
            <w14:scene3d>
              <w14:camera w14:prst="orthographicFront"/>
              <w14:lightRig w14:rig="threePt" w14:dir="t">
                <w14:rot w14:lat="0" w14:lon="0" w14:rev="0"/>
              </w14:lightRig>
            </w14:scene3d>
          </w:rPr>
          <w:t>9.</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ANNEXTURE B: FINANCIAL RATIO’S</w:t>
        </w:r>
        <w:r w:rsidR="002A00CD">
          <w:rPr>
            <w:noProof/>
            <w:webHidden/>
          </w:rPr>
          <w:tab/>
        </w:r>
        <w:r w:rsidR="002A00CD">
          <w:rPr>
            <w:noProof/>
            <w:webHidden/>
          </w:rPr>
          <w:fldChar w:fldCharType="begin"/>
        </w:r>
        <w:r w:rsidR="002A00CD">
          <w:rPr>
            <w:noProof/>
            <w:webHidden/>
          </w:rPr>
          <w:instrText xml:space="preserve"> PAGEREF _Toc137732246 \h </w:instrText>
        </w:r>
        <w:r w:rsidR="002A00CD">
          <w:rPr>
            <w:noProof/>
            <w:webHidden/>
          </w:rPr>
        </w:r>
        <w:r w:rsidR="002A00CD">
          <w:rPr>
            <w:noProof/>
            <w:webHidden/>
          </w:rPr>
          <w:fldChar w:fldCharType="separate"/>
        </w:r>
        <w:r w:rsidR="00A564BE">
          <w:rPr>
            <w:noProof/>
            <w:webHidden/>
          </w:rPr>
          <w:t>102</w:t>
        </w:r>
        <w:r w:rsidR="002A00CD">
          <w:rPr>
            <w:noProof/>
            <w:webHidden/>
          </w:rPr>
          <w:fldChar w:fldCharType="end"/>
        </w:r>
      </w:hyperlink>
    </w:p>
    <w:p w14:paraId="387960AA" w14:textId="28077154" w:rsidR="002A00CD" w:rsidRDefault="00810B62">
      <w:pPr>
        <w:pStyle w:val="TOC1"/>
        <w:rPr>
          <w:rFonts w:asciiTheme="minorHAnsi" w:eastAsiaTheme="minorEastAsia" w:hAnsiTheme="minorHAnsi" w:cstheme="minorBidi"/>
          <w:b w:val="0"/>
          <w:caps w:val="0"/>
          <w:noProof/>
          <w:color w:val="auto"/>
          <w:kern w:val="2"/>
          <w:sz w:val="22"/>
          <w:szCs w:val="22"/>
          <w:lang w:val="en-ZA" w:eastAsia="en-ZA"/>
          <w14:ligatures w14:val="standardContextual"/>
        </w:rPr>
      </w:pPr>
      <w:hyperlink w:anchor="_Toc137732247" w:history="1">
        <w:r w:rsidR="002A00CD" w:rsidRPr="0032438F">
          <w:rPr>
            <w:rStyle w:val="Hyperlink"/>
            <w:noProof/>
            <w14:scene3d>
              <w14:camera w14:prst="orthographicFront"/>
              <w14:lightRig w14:rig="threePt" w14:dir="t">
                <w14:rot w14:lat="0" w14:lon="0" w14:rev="0"/>
              </w14:lightRig>
            </w14:scene3d>
          </w:rPr>
          <w:t>10.</w:t>
        </w:r>
        <w:r w:rsidR="002A00CD">
          <w:rPr>
            <w:rFonts w:asciiTheme="minorHAnsi" w:eastAsiaTheme="minorEastAsia" w:hAnsiTheme="minorHAnsi" w:cstheme="minorBidi"/>
            <w:b w:val="0"/>
            <w:caps w:val="0"/>
            <w:noProof/>
            <w:color w:val="auto"/>
            <w:kern w:val="2"/>
            <w:sz w:val="22"/>
            <w:szCs w:val="22"/>
            <w:lang w:val="en-ZA" w:eastAsia="en-ZA"/>
            <w14:ligatures w14:val="standardContextual"/>
          </w:rPr>
          <w:tab/>
        </w:r>
        <w:r w:rsidR="002A00CD" w:rsidRPr="0032438F">
          <w:rPr>
            <w:rStyle w:val="Hyperlink"/>
            <w:noProof/>
          </w:rPr>
          <w:t>ANNEXTURE C: FINANCIAL RATIO ANALYSIS</w:t>
        </w:r>
        <w:r w:rsidR="002A00CD">
          <w:rPr>
            <w:noProof/>
            <w:webHidden/>
          </w:rPr>
          <w:tab/>
        </w:r>
        <w:r w:rsidR="002A00CD">
          <w:rPr>
            <w:noProof/>
            <w:webHidden/>
          </w:rPr>
          <w:fldChar w:fldCharType="begin"/>
        </w:r>
        <w:r w:rsidR="002A00CD">
          <w:rPr>
            <w:noProof/>
            <w:webHidden/>
          </w:rPr>
          <w:instrText xml:space="preserve"> PAGEREF _Toc137732247 \h </w:instrText>
        </w:r>
        <w:r w:rsidR="002A00CD">
          <w:rPr>
            <w:noProof/>
            <w:webHidden/>
          </w:rPr>
        </w:r>
        <w:r w:rsidR="002A00CD">
          <w:rPr>
            <w:noProof/>
            <w:webHidden/>
          </w:rPr>
          <w:fldChar w:fldCharType="separate"/>
        </w:r>
        <w:r w:rsidR="00A564BE">
          <w:rPr>
            <w:noProof/>
            <w:webHidden/>
          </w:rPr>
          <w:t>105</w:t>
        </w:r>
        <w:r w:rsidR="002A00CD">
          <w:rPr>
            <w:noProof/>
            <w:webHidden/>
          </w:rPr>
          <w:fldChar w:fldCharType="end"/>
        </w:r>
      </w:hyperlink>
    </w:p>
    <w:p w14:paraId="5EA51E22" w14:textId="237E1A6C" w:rsidR="005A6DBB" w:rsidRDefault="00F93099">
      <w:pPr>
        <w:pStyle w:val="Heading1"/>
        <w:numPr>
          <w:ilvl w:val="0"/>
          <w:numId w:val="1"/>
        </w:numPr>
        <w:spacing w:before="120" w:after="120" w:line="360" w:lineRule="auto"/>
        <w:ind w:left="709" w:right="147" w:hanging="567"/>
      </w:pPr>
      <w:r>
        <w:lastRenderedPageBreak/>
        <w:fldChar w:fldCharType="end"/>
      </w:r>
      <w:bookmarkStart w:id="3" w:name="_Toc137732194"/>
      <w:r>
        <w:t>ABBREVIATIONS</w:t>
      </w:r>
      <w:bookmarkEnd w:id="3"/>
    </w:p>
    <w:tbl>
      <w:tblPr>
        <w:tblStyle w:val="BSWordTable"/>
        <w:tblW w:w="5005" w:type="pct"/>
        <w:tblLayout w:type="fixed"/>
        <w:tblLook w:val="04A0" w:firstRow="1" w:lastRow="0" w:firstColumn="1" w:lastColumn="0" w:noHBand="0" w:noVBand="1"/>
      </w:tblPr>
      <w:tblGrid>
        <w:gridCol w:w="517"/>
        <w:gridCol w:w="4353"/>
        <w:gridCol w:w="4353"/>
      </w:tblGrid>
      <w:tr w:rsidR="005A6DBB" w14:paraId="72C2362D" w14:textId="77777777" w:rsidTr="005A6DBB">
        <w:trPr>
          <w:cnfStyle w:val="100000000000" w:firstRow="1" w:lastRow="0" w:firstColumn="0" w:lastColumn="0" w:oddVBand="0" w:evenVBand="0" w:oddHBand="0" w:evenHBand="0" w:firstRowFirstColumn="0" w:firstRowLastColumn="0" w:lastRowFirstColumn="0" w:lastRowLastColumn="0"/>
          <w:trHeight w:val="300"/>
        </w:trPr>
        <w:tc>
          <w:tcPr>
            <w:tcW w:w="280" w:type="pct"/>
            <w:tcBorders>
              <w:right w:val="single" w:sz="2" w:space="0" w:color="FFFFFF"/>
            </w:tcBorders>
            <w:shd w:val="clear" w:color="auto" w:fill="002060"/>
          </w:tcPr>
          <w:p w14:paraId="7F81F94E" w14:textId="77777777" w:rsidR="005A6DBB" w:rsidRDefault="00F93099">
            <w:pPr>
              <w:spacing w:before="120" w:after="120"/>
              <w:jc w:val="center"/>
              <w:rPr>
                <w:rFonts w:asciiTheme="minorHAnsi" w:hAnsiTheme="minorHAnsi" w:cstheme="minorHAnsi"/>
                <w:b w:val="0"/>
                <w:sz w:val="20"/>
                <w:szCs w:val="20"/>
                <w:lang w:val="en-US" w:eastAsia="en-ZA"/>
              </w:rPr>
            </w:pPr>
            <w:bookmarkStart w:id="4" w:name="_Hlk132724437"/>
            <w:r>
              <w:rPr>
                <w:rFonts w:asciiTheme="minorHAnsi" w:hAnsiTheme="minorHAnsi" w:cstheme="minorHAnsi"/>
                <w:sz w:val="20"/>
                <w:szCs w:val="20"/>
                <w:lang w:val="en-US" w:eastAsia="en-ZA"/>
              </w:rPr>
              <w:t>No</w:t>
            </w:r>
          </w:p>
        </w:tc>
        <w:tc>
          <w:tcPr>
            <w:tcW w:w="2360" w:type="pct"/>
            <w:tcBorders>
              <w:right w:val="single" w:sz="2" w:space="0" w:color="FFFFFF"/>
            </w:tcBorders>
            <w:shd w:val="clear" w:color="auto" w:fill="002060"/>
          </w:tcPr>
          <w:p w14:paraId="38462850" w14:textId="77777777" w:rsidR="005A6DBB" w:rsidRDefault="00F93099">
            <w:pPr>
              <w:spacing w:before="120" w:after="120"/>
              <w:jc w:val="center"/>
              <w:rPr>
                <w:rFonts w:asciiTheme="minorHAnsi" w:hAnsiTheme="minorHAnsi" w:cstheme="minorHAnsi"/>
                <w:b w:val="0"/>
                <w:sz w:val="20"/>
                <w:szCs w:val="20"/>
                <w:lang w:val="en-US" w:eastAsia="en-ZA"/>
              </w:rPr>
            </w:pPr>
            <w:r>
              <w:rPr>
                <w:rFonts w:asciiTheme="minorHAnsi" w:hAnsiTheme="minorHAnsi" w:cstheme="minorHAnsi"/>
                <w:sz w:val="20"/>
                <w:szCs w:val="20"/>
                <w:lang w:val="en-US" w:eastAsia="en-ZA"/>
              </w:rPr>
              <w:t>Abbreviation</w:t>
            </w:r>
          </w:p>
        </w:tc>
        <w:tc>
          <w:tcPr>
            <w:tcW w:w="2360" w:type="pct"/>
            <w:shd w:val="clear" w:color="auto" w:fill="002060"/>
          </w:tcPr>
          <w:p w14:paraId="76854C04" w14:textId="77777777" w:rsidR="005A6DBB" w:rsidRDefault="00F93099">
            <w:pPr>
              <w:spacing w:before="120" w:after="120"/>
              <w:jc w:val="center"/>
              <w:rPr>
                <w:rFonts w:asciiTheme="minorHAnsi" w:hAnsiTheme="minorHAnsi" w:cstheme="minorHAnsi"/>
                <w:b w:val="0"/>
                <w:sz w:val="20"/>
                <w:szCs w:val="20"/>
                <w:lang w:val="en-US" w:eastAsia="en-ZA"/>
              </w:rPr>
            </w:pPr>
            <w:r>
              <w:rPr>
                <w:rFonts w:asciiTheme="minorHAnsi" w:hAnsiTheme="minorHAnsi" w:cstheme="minorHAnsi"/>
                <w:sz w:val="20"/>
                <w:szCs w:val="20"/>
                <w:lang w:val="en-US" w:eastAsia="en-ZA"/>
              </w:rPr>
              <w:t>Full Form</w:t>
            </w:r>
          </w:p>
        </w:tc>
      </w:tr>
      <w:tr w:rsidR="005A6DBB" w14:paraId="60BDA2BB"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1FA55EF3"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26385AD5"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AFS</w:t>
            </w:r>
          </w:p>
        </w:tc>
        <w:tc>
          <w:tcPr>
            <w:tcW w:w="2360" w:type="pct"/>
            <w:tcBorders>
              <w:top w:val="nil"/>
              <w:bottom w:val="nil"/>
              <w:right w:val="nil"/>
              <w:tl2br w:val="nil"/>
              <w:tr2bl w:val="nil"/>
            </w:tcBorders>
            <w:shd w:val="clear" w:color="auto" w:fill="D4E1ED"/>
            <w:noWrap/>
          </w:tcPr>
          <w:p w14:paraId="5B016CF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Annual Financial Statements</w:t>
            </w:r>
          </w:p>
        </w:tc>
      </w:tr>
      <w:tr w:rsidR="005A6DBB" w14:paraId="329AA5AB"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6618D4D2"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61A963EA"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AG</w:t>
            </w:r>
          </w:p>
        </w:tc>
        <w:tc>
          <w:tcPr>
            <w:tcW w:w="2360" w:type="pct"/>
            <w:tcBorders>
              <w:top w:val="nil"/>
              <w:bottom w:val="nil"/>
              <w:right w:val="nil"/>
              <w:tl2br w:val="nil"/>
              <w:tr2bl w:val="nil"/>
            </w:tcBorders>
            <w:shd w:val="clear" w:color="auto" w:fill="BED3E4"/>
            <w:noWrap/>
          </w:tcPr>
          <w:p w14:paraId="3A6AE9DD"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Auditor General</w:t>
            </w:r>
          </w:p>
        </w:tc>
      </w:tr>
      <w:tr w:rsidR="005A6DBB" w14:paraId="4D693DC2"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71D2578D"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D4E1ED"/>
            <w:noWrap/>
          </w:tcPr>
          <w:p w14:paraId="2D75B28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ART</w:t>
            </w:r>
          </w:p>
        </w:tc>
        <w:tc>
          <w:tcPr>
            <w:tcW w:w="2360" w:type="pct"/>
            <w:tcBorders>
              <w:top w:val="nil"/>
              <w:bottom w:val="nil"/>
              <w:right w:val="nil"/>
              <w:tl2br w:val="nil"/>
              <w:tr2bl w:val="nil"/>
            </w:tcBorders>
            <w:shd w:val="clear" w:color="auto" w:fill="D4E1ED"/>
            <w:noWrap/>
          </w:tcPr>
          <w:p w14:paraId="174F046B"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Antiretroviral Therapy</w:t>
            </w:r>
          </w:p>
        </w:tc>
      </w:tr>
      <w:tr w:rsidR="005A6DBB" w14:paraId="57BF2D68"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597320DA"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30C0422F" w14:textId="77777777" w:rsidR="005A6DBB" w:rsidRDefault="00F93099">
            <w:pPr>
              <w:spacing w:before="120" w:after="120"/>
              <w:jc w:val="left"/>
              <w:rPr>
                <w:rFonts w:asciiTheme="minorHAnsi" w:hAnsiTheme="minorHAnsi" w:cstheme="minorHAnsi"/>
                <w:color w:val="000000" w:themeColor="text1"/>
                <w:sz w:val="20"/>
                <w:szCs w:val="20"/>
                <w:lang w:val="en-US" w:eastAsia="en-ZA"/>
              </w:rPr>
            </w:pPr>
            <w:proofErr w:type="spellStart"/>
            <w:r>
              <w:rPr>
                <w:rFonts w:asciiTheme="minorHAnsi" w:hAnsiTheme="minorHAnsi" w:cstheme="minorHAnsi"/>
                <w:color w:val="000000" w:themeColor="text1"/>
                <w:sz w:val="20"/>
                <w:szCs w:val="20"/>
                <w:lang w:val="en-US" w:eastAsia="en-ZA"/>
              </w:rPr>
              <w:t>CoS</w:t>
            </w:r>
            <w:proofErr w:type="spellEnd"/>
          </w:p>
        </w:tc>
        <w:tc>
          <w:tcPr>
            <w:tcW w:w="2360" w:type="pct"/>
            <w:tcBorders>
              <w:top w:val="nil"/>
              <w:bottom w:val="nil"/>
              <w:right w:val="nil"/>
              <w:tl2br w:val="nil"/>
              <w:tr2bl w:val="nil"/>
            </w:tcBorders>
            <w:shd w:val="clear" w:color="auto" w:fill="BED3E4"/>
            <w:noWrap/>
          </w:tcPr>
          <w:p w14:paraId="5AB7C9A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themeColor="text1"/>
                <w:sz w:val="20"/>
                <w:szCs w:val="20"/>
                <w:lang w:val="en-US" w:eastAsia="en-ZA"/>
              </w:rPr>
              <w:t>Cost of Supply</w:t>
            </w:r>
          </w:p>
        </w:tc>
      </w:tr>
      <w:tr w:rsidR="005A6DBB" w14:paraId="7CE2F234"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5C3DDBA7"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4C206C96"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DBSA</w:t>
            </w:r>
          </w:p>
        </w:tc>
        <w:tc>
          <w:tcPr>
            <w:tcW w:w="2360" w:type="pct"/>
            <w:tcBorders>
              <w:top w:val="nil"/>
              <w:bottom w:val="nil"/>
              <w:right w:val="nil"/>
              <w:tl2br w:val="nil"/>
              <w:tr2bl w:val="nil"/>
            </w:tcBorders>
            <w:shd w:val="clear" w:color="auto" w:fill="D4E1ED"/>
            <w:noWrap/>
          </w:tcPr>
          <w:p w14:paraId="12F284F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Development Bank of Southern Africa</w:t>
            </w:r>
          </w:p>
        </w:tc>
      </w:tr>
      <w:tr w:rsidR="005A6DBB" w14:paraId="2A3EAFCF"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2972C13C"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BED3E4"/>
            <w:noWrap/>
          </w:tcPr>
          <w:p w14:paraId="326BD68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EXCO</w:t>
            </w:r>
          </w:p>
        </w:tc>
        <w:tc>
          <w:tcPr>
            <w:tcW w:w="2360" w:type="pct"/>
            <w:tcBorders>
              <w:top w:val="nil"/>
              <w:bottom w:val="nil"/>
              <w:right w:val="nil"/>
              <w:tl2br w:val="nil"/>
              <w:tr2bl w:val="nil"/>
            </w:tcBorders>
            <w:shd w:val="clear" w:color="auto" w:fill="BED3E4"/>
            <w:noWrap/>
          </w:tcPr>
          <w:p w14:paraId="6E1156E0"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Executive Committee</w:t>
            </w:r>
          </w:p>
        </w:tc>
      </w:tr>
      <w:tr w:rsidR="005A6DBB" w14:paraId="0887EE5A"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41EB6959"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7F354A4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FRESHCO</w:t>
            </w:r>
          </w:p>
        </w:tc>
        <w:tc>
          <w:tcPr>
            <w:tcW w:w="2360" w:type="pct"/>
            <w:tcBorders>
              <w:top w:val="nil"/>
              <w:bottom w:val="nil"/>
              <w:right w:val="nil"/>
              <w:tl2br w:val="nil"/>
              <w:tr2bl w:val="nil"/>
            </w:tcBorders>
            <w:shd w:val="clear" w:color="auto" w:fill="D4E1ED"/>
            <w:noWrap/>
          </w:tcPr>
          <w:p w14:paraId="3A707D6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Free State Social Housing Company</w:t>
            </w:r>
          </w:p>
        </w:tc>
      </w:tr>
      <w:tr w:rsidR="005A6DBB" w14:paraId="0CF81AAB"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61CFB7ED"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BED3E4"/>
            <w:noWrap/>
          </w:tcPr>
          <w:p w14:paraId="78CFF901"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FRP</w:t>
            </w:r>
          </w:p>
        </w:tc>
        <w:tc>
          <w:tcPr>
            <w:tcW w:w="2360" w:type="pct"/>
            <w:tcBorders>
              <w:top w:val="nil"/>
              <w:bottom w:val="nil"/>
              <w:right w:val="nil"/>
              <w:tl2br w:val="nil"/>
              <w:tr2bl w:val="nil"/>
            </w:tcBorders>
            <w:shd w:val="clear" w:color="auto" w:fill="BED3E4"/>
            <w:noWrap/>
          </w:tcPr>
          <w:p w14:paraId="5D90898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Financial Recovery Plan</w:t>
            </w:r>
          </w:p>
        </w:tc>
      </w:tr>
      <w:tr w:rsidR="005A6DBB" w14:paraId="21052888"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2523CED1"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69C1E05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HRD</w:t>
            </w:r>
          </w:p>
        </w:tc>
        <w:tc>
          <w:tcPr>
            <w:tcW w:w="2360" w:type="pct"/>
            <w:tcBorders>
              <w:top w:val="nil"/>
              <w:bottom w:val="nil"/>
              <w:right w:val="nil"/>
              <w:tl2br w:val="nil"/>
              <w:tr2bl w:val="nil"/>
            </w:tcBorders>
            <w:shd w:val="clear" w:color="auto" w:fill="D4E1ED"/>
            <w:noWrap/>
          </w:tcPr>
          <w:p w14:paraId="4DC8878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Human Resources Development</w:t>
            </w:r>
          </w:p>
        </w:tc>
      </w:tr>
      <w:tr w:rsidR="005A6DBB" w14:paraId="4DE1AF7F"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5DF0A9FE"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74B66523"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ICT</w:t>
            </w:r>
          </w:p>
        </w:tc>
        <w:tc>
          <w:tcPr>
            <w:tcW w:w="2360" w:type="pct"/>
            <w:tcBorders>
              <w:top w:val="nil"/>
              <w:bottom w:val="nil"/>
              <w:right w:val="nil"/>
              <w:tl2br w:val="nil"/>
              <w:tr2bl w:val="nil"/>
            </w:tcBorders>
            <w:shd w:val="clear" w:color="auto" w:fill="BED3E4"/>
            <w:noWrap/>
          </w:tcPr>
          <w:p w14:paraId="1452F730"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Information and Communications Technology</w:t>
            </w:r>
          </w:p>
        </w:tc>
      </w:tr>
      <w:tr w:rsidR="005A6DBB" w14:paraId="41CDFF7D"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66168AC7"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09D6E6DD"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IDP</w:t>
            </w:r>
          </w:p>
        </w:tc>
        <w:tc>
          <w:tcPr>
            <w:tcW w:w="2360" w:type="pct"/>
            <w:tcBorders>
              <w:top w:val="nil"/>
              <w:bottom w:val="nil"/>
              <w:right w:val="nil"/>
              <w:tl2br w:val="nil"/>
              <w:tr2bl w:val="nil"/>
            </w:tcBorders>
            <w:shd w:val="clear" w:color="auto" w:fill="D4E1ED"/>
            <w:noWrap/>
          </w:tcPr>
          <w:p w14:paraId="1463555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Integrated Development Plan</w:t>
            </w:r>
          </w:p>
        </w:tc>
      </w:tr>
      <w:tr w:rsidR="005A6DBB" w14:paraId="01B27C8A"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16CF352E"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2637E63A"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IPTN</w:t>
            </w:r>
          </w:p>
        </w:tc>
        <w:tc>
          <w:tcPr>
            <w:tcW w:w="2360" w:type="pct"/>
            <w:tcBorders>
              <w:top w:val="nil"/>
              <w:bottom w:val="nil"/>
              <w:right w:val="nil"/>
              <w:tl2br w:val="nil"/>
              <w:tr2bl w:val="nil"/>
            </w:tcBorders>
            <w:shd w:val="clear" w:color="auto" w:fill="BED3E4"/>
            <w:noWrap/>
          </w:tcPr>
          <w:p w14:paraId="4988019B"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themeColor="text1"/>
                <w:sz w:val="20"/>
                <w:szCs w:val="20"/>
                <w:lang w:val="en-US" w:eastAsia="en-ZA"/>
              </w:rPr>
              <w:t>Integrated Public Transport Network</w:t>
            </w:r>
          </w:p>
        </w:tc>
      </w:tr>
      <w:tr w:rsidR="005A6DBB" w14:paraId="093B511C"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37607CD2"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0BA15119"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KPA</w:t>
            </w:r>
          </w:p>
        </w:tc>
        <w:tc>
          <w:tcPr>
            <w:tcW w:w="2360" w:type="pct"/>
            <w:tcBorders>
              <w:top w:val="nil"/>
              <w:bottom w:val="nil"/>
              <w:right w:val="nil"/>
              <w:tl2br w:val="nil"/>
              <w:tr2bl w:val="nil"/>
            </w:tcBorders>
            <w:shd w:val="clear" w:color="auto" w:fill="D4E1ED"/>
            <w:noWrap/>
          </w:tcPr>
          <w:p w14:paraId="46B0D72A"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Key Performance Area</w:t>
            </w:r>
          </w:p>
        </w:tc>
      </w:tr>
      <w:tr w:rsidR="005A6DBB" w14:paraId="48BCAAF2"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43A35366"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6BC33AAE"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KPI</w:t>
            </w:r>
          </w:p>
        </w:tc>
        <w:tc>
          <w:tcPr>
            <w:tcW w:w="2360" w:type="pct"/>
            <w:tcBorders>
              <w:top w:val="nil"/>
              <w:bottom w:val="nil"/>
              <w:right w:val="nil"/>
              <w:tl2br w:val="nil"/>
              <w:tr2bl w:val="nil"/>
            </w:tcBorders>
            <w:shd w:val="clear" w:color="auto" w:fill="BED3E4"/>
            <w:noWrap/>
          </w:tcPr>
          <w:p w14:paraId="3BAF221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Key Performance Indicator</w:t>
            </w:r>
          </w:p>
        </w:tc>
      </w:tr>
      <w:tr w:rsidR="005A6DBB" w14:paraId="2B14C7A0"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08F6DBC9"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015A67A5"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LLF</w:t>
            </w:r>
          </w:p>
        </w:tc>
        <w:tc>
          <w:tcPr>
            <w:tcW w:w="2360" w:type="pct"/>
            <w:tcBorders>
              <w:top w:val="nil"/>
              <w:bottom w:val="nil"/>
              <w:right w:val="nil"/>
              <w:tl2br w:val="nil"/>
              <w:tr2bl w:val="nil"/>
            </w:tcBorders>
            <w:shd w:val="clear" w:color="auto" w:fill="D4E1ED"/>
            <w:noWrap/>
          </w:tcPr>
          <w:p w14:paraId="0446CC35"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Local Labor Forum</w:t>
            </w:r>
          </w:p>
        </w:tc>
      </w:tr>
      <w:tr w:rsidR="005A6DBB" w14:paraId="41DFD882"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573B1734"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10F60AC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MEC</w:t>
            </w:r>
          </w:p>
        </w:tc>
        <w:tc>
          <w:tcPr>
            <w:tcW w:w="2360" w:type="pct"/>
            <w:tcBorders>
              <w:top w:val="nil"/>
              <w:bottom w:val="nil"/>
              <w:right w:val="nil"/>
              <w:tl2br w:val="nil"/>
              <w:tr2bl w:val="nil"/>
            </w:tcBorders>
            <w:shd w:val="clear" w:color="auto" w:fill="BED3E4"/>
            <w:noWrap/>
          </w:tcPr>
          <w:p w14:paraId="4A087791"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Member of the Executive Council</w:t>
            </w:r>
          </w:p>
        </w:tc>
      </w:tr>
      <w:tr w:rsidR="005A6DBB" w14:paraId="226FC9BF"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4381BD1B"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D4E1ED"/>
            <w:noWrap/>
          </w:tcPr>
          <w:p w14:paraId="6340926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MFMA</w:t>
            </w:r>
          </w:p>
        </w:tc>
        <w:tc>
          <w:tcPr>
            <w:tcW w:w="2360" w:type="pct"/>
            <w:tcBorders>
              <w:top w:val="nil"/>
              <w:bottom w:val="nil"/>
              <w:right w:val="nil"/>
              <w:tl2br w:val="nil"/>
              <w:tr2bl w:val="nil"/>
            </w:tcBorders>
            <w:shd w:val="clear" w:color="auto" w:fill="D4E1ED"/>
            <w:noWrap/>
          </w:tcPr>
          <w:p w14:paraId="3F3D0183"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Municipal Financial Management Act</w:t>
            </w:r>
          </w:p>
        </w:tc>
      </w:tr>
      <w:tr w:rsidR="005A6DBB" w14:paraId="3F535E2E"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359B5EFB"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BED3E4"/>
            <w:noWrap/>
          </w:tcPr>
          <w:p w14:paraId="24979EAC"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MFRS</w:t>
            </w:r>
          </w:p>
        </w:tc>
        <w:tc>
          <w:tcPr>
            <w:tcW w:w="2360" w:type="pct"/>
            <w:tcBorders>
              <w:top w:val="nil"/>
              <w:bottom w:val="nil"/>
              <w:right w:val="nil"/>
              <w:tl2br w:val="nil"/>
              <w:tr2bl w:val="nil"/>
            </w:tcBorders>
            <w:shd w:val="clear" w:color="auto" w:fill="BED3E4"/>
            <w:noWrap/>
          </w:tcPr>
          <w:p w14:paraId="67AEFE01"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Municipal Financial Recovery Services</w:t>
            </w:r>
          </w:p>
        </w:tc>
      </w:tr>
      <w:tr w:rsidR="005A6DBB" w14:paraId="5E1FA119"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7C50E12D"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D4E1ED"/>
            <w:noWrap/>
          </w:tcPr>
          <w:p w14:paraId="45DB6CB7"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MMM</w:t>
            </w:r>
          </w:p>
        </w:tc>
        <w:tc>
          <w:tcPr>
            <w:tcW w:w="2360" w:type="pct"/>
            <w:tcBorders>
              <w:top w:val="nil"/>
              <w:bottom w:val="nil"/>
              <w:right w:val="nil"/>
              <w:tl2br w:val="nil"/>
              <w:tr2bl w:val="nil"/>
            </w:tcBorders>
            <w:shd w:val="clear" w:color="auto" w:fill="D4E1ED"/>
            <w:noWrap/>
          </w:tcPr>
          <w:p w14:paraId="0DE67B9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Mangaung Metropolitan Municipality</w:t>
            </w:r>
          </w:p>
        </w:tc>
      </w:tr>
      <w:tr w:rsidR="005A6DBB" w14:paraId="75450D14"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7E742F18"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4A3FA4F4" w14:textId="77777777" w:rsidR="005A6DBB" w:rsidRDefault="00F93099">
            <w:pPr>
              <w:spacing w:before="120" w:after="120"/>
              <w:jc w:val="left"/>
              <w:rPr>
                <w:rFonts w:asciiTheme="minorHAnsi" w:hAnsiTheme="minorHAnsi" w:cstheme="minorHAnsi"/>
                <w:color w:val="000000"/>
                <w:sz w:val="20"/>
                <w:szCs w:val="20"/>
                <w:lang w:val="en-US" w:eastAsia="en-ZA"/>
              </w:rPr>
            </w:pPr>
            <w:proofErr w:type="spellStart"/>
            <w:r>
              <w:rPr>
                <w:rFonts w:asciiTheme="minorHAnsi" w:hAnsiTheme="minorHAnsi" w:cstheme="minorHAnsi"/>
                <w:i/>
                <w:iCs/>
                <w:color w:val="000000"/>
                <w:sz w:val="20"/>
                <w:szCs w:val="20"/>
                <w:lang w:val="en-US" w:eastAsia="en-ZA"/>
              </w:rPr>
              <w:t>m</w:t>
            </w:r>
            <w:r>
              <w:rPr>
                <w:rFonts w:asciiTheme="minorHAnsi" w:hAnsiTheme="minorHAnsi" w:cstheme="minorHAnsi"/>
                <w:color w:val="000000"/>
                <w:sz w:val="20"/>
                <w:szCs w:val="20"/>
                <w:lang w:val="en-US" w:eastAsia="en-ZA"/>
              </w:rPr>
              <w:t>SCOA</w:t>
            </w:r>
            <w:proofErr w:type="spellEnd"/>
          </w:p>
        </w:tc>
        <w:tc>
          <w:tcPr>
            <w:tcW w:w="2360" w:type="pct"/>
            <w:tcBorders>
              <w:top w:val="nil"/>
              <w:bottom w:val="nil"/>
              <w:right w:val="nil"/>
              <w:tl2br w:val="nil"/>
              <w:tr2bl w:val="nil"/>
            </w:tcBorders>
            <w:shd w:val="clear" w:color="auto" w:fill="BED3E4"/>
            <w:noWrap/>
          </w:tcPr>
          <w:p w14:paraId="06A7FA96" w14:textId="77777777" w:rsidR="005A6DBB" w:rsidRDefault="00F93099">
            <w:pPr>
              <w:spacing w:before="120" w:after="120"/>
              <w:jc w:val="left"/>
              <w:rPr>
                <w:rFonts w:asciiTheme="minorHAnsi" w:hAnsiTheme="minorHAnsi" w:cstheme="minorHAnsi"/>
                <w:color w:val="000000"/>
                <w:sz w:val="20"/>
                <w:szCs w:val="20"/>
                <w:lang w:val="en-US" w:eastAsia="en-ZA"/>
              </w:rPr>
            </w:pPr>
            <w:proofErr w:type="spellStart"/>
            <w:r>
              <w:rPr>
                <w:rFonts w:asciiTheme="minorHAnsi" w:hAnsiTheme="minorHAnsi" w:cstheme="minorHAnsi"/>
                <w:color w:val="000000"/>
                <w:sz w:val="20"/>
                <w:szCs w:val="20"/>
                <w:lang w:val="en-US" w:eastAsia="en-ZA"/>
              </w:rPr>
              <w:t>Muncipal</w:t>
            </w:r>
            <w:proofErr w:type="spellEnd"/>
            <w:r>
              <w:rPr>
                <w:rFonts w:asciiTheme="minorHAnsi" w:hAnsiTheme="minorHAnsi" w:cstheme="minorHAnsi"/>
                <w:color w:val="000000"/>
                <w:sz w:val="20"/>
                <w:szCs w:val="20"/>
                <w:lang w:val="en-US" w:eastAsia="en-ZA"/>
              </w:rPr>
              <w:t xml:space="preserve"> Standard Chart of Accounts</w:t>
            </w:r>
          </w:p>
        </w:tc>
      </w:tr>
      <w:tr w:rsidR="005A6DBB" w14:paraId="51E29380"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7513A821"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14:ligatures w14:val="standardContextual"/>
              </w:rPr>
            </w:pPr>
          </w:p>
        </w:tc>
        <w:tc>
          <w:tcPr>
            <w:tcW w:w="2360" w:type="pct"/>
            <w:tcBorders>
              <w:top w:val="nil"/>
              <w:bottom w:val="nil"/>
              <w:right w:val="single" w:sz="2" w:space="0" w:color="FFFFFF"/>
              <w:tl2br w:val="nil"/>
              <w:tr2bl w:val="nil"/>
            </w:tcBorders>
            <w:shd w:val="clear" w:color="auto" w:fill="D4E1ED"/>
            <w:noWrap/>
          </w:tcPr>
          <w:p w14:paraId="0E26018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NCR</w:t>
            </w:r>
          </w:p>
        </w:tc>
        <w:tc>
          <w:tcPr>
            <w:tcW w:w="2360" w:type="pct"/>
            <w:tcBorders>
              <w:top w:val="nil"/>
              <w:bottom w:val="nil"/>
              <w:right w:val="nil"/>
              <w:tl2br w:val="nil"/>
              <w:tr2bl w:val="nil"/>
            </w:tcBorders>
            <w:shd w:val="clear" w:color="auto" w:fill="D4E1ED"/>
            <w:noWrap/>
          </w:tcPr>
          <w:p w14:paraId="6315AEDF"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National Cabinet Representatives</w:t>
            </w:r>
          </w:p>
        </w:tc>
      </w:tr>
      <w:tr w:rsidR="005A6DBB" w14:paraId="56A2D8E4"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7C418451"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787E0A10"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NERSA</w:t>
            </w:r>
          </w:p>
        </w:tc>
        <w:tc>
          <w:tcPr>
            <w:tcW w:w="2360" w:type="pct"/>
            <w:tcBorders>
              <w:top w:val="nil"/>
              <w:bottom w:val="nil"/>
              <w:right w:val="nil"/>
              <w:tl2br w:val="nil"/>
              <w:tr2bl w:val="nil"/>
            </w:tcBorders>
            <w:shd w:val="clear" w:color="auto" w:fill="BED3E4"/>
            <w:noWrap/>
          </w:tcPr>
          <w:p w14:paraId="165504B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National Energy Regulator of South Africa</w:t>
            </w:r>
          </w:p>
        </w:tc>
      </w:tr>
      <w:tr w:rsidR="005A6DBB" w14:paraId="07BCA832"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406778B2"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5C8E24A5"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NT</w:t>
            </w:r>
          </w:p>
        </w:tc>
        <w:tc>
          <w:tcPr>
            <w:tcW w:w="2360" w:type="pct"/>
            <w:tcBorders>
              <w:top w:val="nil"/>
              <w:bottom w:val="nil"/>
              <w:right w:val="nil"/>
              <w:tl2br w:val="nil"/>
              <w:tr2bl w:val="nil"/>
            </w:tcBorders>
            <w:shd w:val="clear" w:color="auto" w:fill="D4E1ED"/>
            <w:noWrap/>
          </w:tcPr>
          <w:p w14:paraId="5420C1E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National Treasury</w:t>
            </w:r>
          </w:p>
        </w:tc>
      </w:tr>
      <w:tr w:rsidR="005A6DBB" w14:paraId="402A3F61"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6B8D4CBF"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26C61946" w14:textId="77777777" w:rsidR="005A6DBB" w:rsidRDefault="00F93099">
            <w:pPr>
              <w:spacing w:before="120" w:after="120"/>
              <w:jc w:val="left"/>
              <w:rPr>
                <w:rFonts w:asciiTheme="minorHAnsi" w:hAnsiTheme="minorHAnsi" w:cstheme="minorHAnsi"/>
                <w:color w:val="000000"/>
                <w:sz w:val="20"/>
                <w:szCs w:val="20"/>
                <w:highlight w:val="yellow"/>
                <w:lang w:val="en-US" w:eastAsia="en-ZA"/>
              </w:rPr>
            </w:pPr>
            <w:r>
              <w:rPr>
                <w:rFonts w:asciiTheme="minorHAnsi" w:hAnsiTheme="minorHAnsi" w:cstheme="minorBidi"/>
                <w:szCs w:val="22"/>
                <w:lang w:val="en-US" w:eastAsia="en-ZA"/>
              </w:rPr>
              <w:t>MPAC</w:t>
            </w:r>
          </w:p>
        </w:tc>
        <w:tc>
          <w:tcPr>
            <w:tcW w:w="2360" w:type="pct"/>
            <w:tcBorders>
              <w:top w:val="nil"/>
              <w:bottom w:val="nil"/>
              <w:right w:val="nil"/>
              <w:tl2br w:val="nil"/>
              <w:tr2bl w:val="nil"/>
            </w:tcBorders>
            <w:shd w:val="clear" w:color="auto" w:fill="BED3E4"/>
            <w:noWrap/>
          </w:tcPr>
          <w:p w14:paraId="18C45CD6" w14:textId="77777777" w:rsidR="005A6DBB" w:rsidRDefault="00F93099">
            <w:pPr>
              <w:spacing w:before="120" w:after="120"/>
              <w:jc w:val="left"/>
              <w:rPr>
                <w:rFonts w:asciiTheme="minorHAnsi" w:hAnsiTheme="minorHAnsi" w:cstheme="minorHAnsi"/>
                <w:color w:val="000000"/>
                <w:sz w:val="20"/>
                <w:szCs w:val="20"/>
                <w:highlight w:val="yellow"/>
                <w:lang w:val="en-US" w:eastAsia="en-ZA"/>
              </w:rPr>
            </w:pPr>
            <w:r>
              <w:rPr>
                <w:rFonts w:asciiTheme="minorHAnsi" w:hAnsiTheme="minorHAnsi" w:cstheme="minorHAnsi"/>
                <w:color w:val="000000"/>
                <w:sz w:val="20"/>
                <w:szCs w:val="20"/>
                <w:lang w:val="en-US" w:eastAsia="en-ZA"/>
              </w:rPr>
              <w:t>Municipal Public Accounts Committee</w:t>
            </w:r>
          </w:p>
        </w:tc>
      </w:tr>
      <w:tr w:rsidR="005A6DBB" w14:paraId="64530628"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2FCE4A93"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180FB72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PMS</w:t>
            </w:r>
          </w:p>
        </w:tc>
        <w:tc>
          <w:tcPr>
            <w:tcW w:w="2360" w:type="pct"/>
            <w:tcBorders>
              <w:top w:val="nil"/>
              <w:bottom w:val="nil"/>
              <w:right w:val="nil"/>
              <w:tl2br w:val="nil"/>
              <w:tr2bl w:val="nil"/>
            </w:tcBorders>
            <w:shd w:val="clear" w:color="auto" w:fill="D4E1ED"/>
            <w:noWrap/>
          </w:tcPr>
          <w:p w14:paraId="2DF32805"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Performance Management System</w:t>
            </w:r>
          </w:p>
        </w:tc>
      </w:tr>
      <w:tr w:rsidR="005A6DBB" w14:paraId="4328A06F"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60200B2A"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485933E8"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SAPS</w:t>
            </w:r>
          </w:p>
        </w:tc>
        <w:tc>
          <w:tcPr>
            <w:tcW w:w="2360" w:type="pct"/>
            <w:tcBorders>
              <w:top w:val="nil"/>
              <w:bottom w:val="nil"/>
              <w:right w:val="nil"/>
              <w:tl2br w:val="nil"/>
              <w:tr2bl w:val="nil"/>
            </w:tcBorders>
            <w:shd w:val="clear" w:color="auto" w:fill="BED3E4"/>
            <w:noWrap/>
          </w:tcPr>
          <w:p w14:paraId="2129297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South African Police Service</w:t>
            </w:r>
          </w:p>
        </w:tc>
      </w:tr>
      <w:tr w:rsidR="005A6DBB" w14:paraId="48F33F5A"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089F92E0"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6CD258F7"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SCM</w:t>
            </w:r>
          </w:p>
        </w:tc>
        <w:tc>
          <w:tcPr>
            <w:tcW w:w="2360" w:type="pct"/>
            <w:tcBorders>
              <w:top w:val="nil"/>
              <w:bottom w:val="nil"/>
              <w:right w:val="nil"/>
              <w:tl2br w:val="nil"/>
              <w:tr2bl w:val="nil"/>
            </w:tcBorders>
            <w:shd w:val="clear" w:color="auto" w:fill="D4E1ED"/>
            <w:noWrap/>
          </w:tcPr>
          <w:p w14:paraId="5CABE16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Supply Chain Management</w:t>
            </w:r>
          </w:p>
        </w:tc>
      </w:tr>
      <w:tr w:rsidR="005A6DBB" w14:paraId="4A4207C1"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36D2411A"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3B186161"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SHRA</w:t>
            </w:r>
          </w:p>
        </w:tc>
        <w:tc>
          <w:tcPr>
            <w:tcW w:w="2360" w:type="pct"/>
            <w:tcBorders>
              <w:top w:val="nil"/>
              <w:bottom w:val="nil"/>
              <w:right w:val="nil"/>
              <w:tl2br w:val="nil"/>
              <w:tr2bl w:val="nil"/>
            </w:tcBorders>
            <w:shd w:val="clear" w:color="auto" w:fill="BED3E4"/>
            <w:noWrap/>
          </w:tcPr>
          <w:p w14:paraId="315CA566" w14:textId="77777777" w:rsidR="005A6DBB" w:rsidRDefault="00F93099">
            <w:pPr>
              <w:spacing w:before="120" w:after="120"/>
              <w:jc w:val="left"/>
              <w:rPr>
                <w:rFonts w:asciiTheme="minorHAnsi" w:hAnsiTheme="minorHAnsi" w:cstheme="minorHAnsi"/>
                <w:color w:val="000000"/>
                <w:sz w:val="20"/>
                <w:szCs w:val="20"/>
                <w:lang w:val="en-US" w:eastAsia="en-ZA"/>
              </w:rPr>
            </w:pPr>
            <w:r>
              <w:rPr>
                <w:rFonts w:eastAsia="Calibri" w:cs="Calibri"/>
                <w:sz w:val="20"/>
                <w:szCs w:val="22"/>
                <w:lang w:eastAsia="en-ZA"/>
              </w:rPr>
              <w:t>Social Housing Regulatory Authority</w:t>
            </w:r>
          </w:p>
        </w:tc>
      </w:tr>
      <w:tr w:rsidR="005A6DBB" w14:paraId="0B9F6608"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62305ED0"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74B23A6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SQR</w:t>
            </w:r>
          </w:p>
        </w:tc>
        <w:tc>
          <w:tcPr>
            <w:tcW w:w="2360" w:type="pct"/>
            <w:tcBorders>
              <w:top w:val="nil"/>
              <w:bottom w:val="nil"/>
              <w:right w:val="nil"/>
              <w:tl2br w:val="nil"/>
              <w:tr2bl w:val="nil"/>
            </w:tcBorders>
            <w:shd w:val="clear" w:color="auto" w:fill="D4E1ED"/>
            <w:noWrap/>
          </w:tcPr>
          <w:p w14:paraId="7476C63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Status Quo Report</w:t>
            </w:r>
          </w:p>
        </w:tc>
      </w:tr>
      <w:tr w:rsidR="005A6DBB" w14:paraId="2DC9D2E1"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7D19F4FA"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67D8243D"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UIF&amp;W</w:t>
            </w:r>
          </w:p>
        </w:tc>
        <w:tc>
          <w:tcPr>
            <w:tcW w:w="2360" w:type="pct"/>
            <w:tcBorders>
              <w:top w:val="nil"/>
              <w:bottom w:val="nil"/>
              <w:right w:val="nil"/>
              <w:tl2br w:val="nil"/>
              <w:tr2bl w:val="nil"/>
            </w:tcBorders>
            <w:shd w:val="clear" w:color="auto" w:fill="BED3E4"/>
            <w:noWrap/>
          </w:tcPr>
          <w:p w14:paraId="69F3171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Unauthorised, Irregular and Fruitless and Wasteful Expenditure</w:t>
            </w:r>
          </w:p>
        </w:tc>
      </w:tr>
      <w:tr w:rsidR="005A6DBB" w14:paraId="6BC564A4" w14:textId="77777777" w:rsidTr="005A6DBB">
        <w:trPr>
          <w:trHeight w:val="315"/>
        </w:trPr>
        <w:tc>
          <w:tcPr>
            <w:tcW w:w="280" w:type="pct"/>
            <w:tcBorders>
              <w:top w:val="nil"/>
              <w:left w:val="nil"/>
              <w:bottom w:val="nil"/>
              <w:right w:val="single" w:sz="2" w:space="0" w:color="FFFFFF"/>
              <w:tl2br w:val="nil"/>
              <w:tr2bl w:val="nil"/>
            </w:tcBorders>
            <w:shd w:val="clear" w:color="auto" w:fill="D4E1ED"/>
            <w:noWrap/>
          </w:tcPr>
          <w:p w14:paraId="32ABCF71"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D4E1ED"/>
            <w:noWrap/>
          </w:tcPr>
          <w:p w14:paraId="0441E36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WTW</w:t>
            </w:r>
          </w:p>
        </w:tc>
        <w:tc>
          <w:tcPr>
            <w:tcW w:w="2360" w:type="pct"/>
            <w:tcBorders>
              <w:top w:val="nil"/>
              <w:bottom w:val="nil"/>
              <w:right w:val="nil"/>
              <w:tl2br w:val="nil"/>
              <w:tr2bl w:val="nil"/>
            </w:tcBorders>
            <w:shd w:val="clear" w:color="auto" w:fill="D4E1ED"/>
            <w:noWrap/>
          </w:tcPr>
          <w:p w14:paraId="6EBD35C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Water Treatment Works</w:t>
            </w:r>
          </w:p>
        </w:tc>
      </w:tr>
      <w:tr w:rsidR="005A6DBB" w14:paraId="7DBF7972" w14:textId="77777777" w:rsidTr="005A6DBB">
        <w:trPr>
          <w:trHeight w:val="315"/>
        </w:trPr>
        <w:tc>
          <w:tcPr>
            <w:tcW w:w="280" w:type="pct"/>
            <w:tcBorders>
              <w:top w:val="nil"/>
              <w:left w:val="nil"/>
              <w:bottom w:val="nil"/>
              <w:right w:val="single" w:sz="2" w:space="0" w:color="FFFFFF"/>
              <w:tl2br w:val="nil"/>
              <w:tr2bl w:val="nil"/>
            </w:tcBorders>
            <w:shd w:val="clear" w:color="auto" w:fill="BED3E4"/>
            <w:noWrap/>
          </w:tcPr>
          <w:p w14:paraId="0EB2D4E7" w14:textId="77777777" w:rsidR="005A6DBB" w:rsidRDefault="005A6DBB">
            <w:pPr>
              <w:pStyle w:val="ListParagraph"/>
              <w:numPr>
                <w:ilvl w:val="0"/>
                <w:numId w:val="7"/>
              </w:numPr>
              <w:spacing w:before="120" w:after="120" w:line="360" w:lineRule="auto"/>
              <w:ind w:left="357" w:hanging="357"/>
              <w:contextualSpacing w:val="0"/>
              <w:rPr>
                <w:rFonts w:asciiTheme="minorHAnsi" w:hAnsiTheme="minorHAnsi" w:cstheme="minorHAnsi"/>
                <w:kern w:val="2"/>
                <w:sz w:val="20"/>
                <w:szCs w:val="20"/>
                <w:lang w:eastAsia="en-US"/>
                <w14:ligatures w14:val="standardContextual"/>
              </w:rPr>
            </w:pPr>
          </w:p>
        </w:tc>
        <w:tc>
          <w:tcPr>
            <w:tcW w:w="2360" w:type="pct"/>
            <w:tcBorders>
              <w:top w:val="nil"/>
              <w:bottom w:val="nil"/>
              <w:right w:val="single" w:sz="2" w:space="0" w:color="FFFFFF"/>
              <w:tl2br w:val="nil"/>
              <w:tr2bl w:val="nil"/>
            </w:tcBorders>
            <w:shd w:val="clear" w:color="auto" w:fill="BED3E4"/>
            <w:noWrap/>
          </w:tcPr>
          <w:p w14:paraId="7D9E55FD"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hAnsiTheme="minorHAnsi" w:cstheme="minorHAnsi"/>
                <w:color w:val="000000" w:themeColor="text1"/>
                <w:sz w:val="20"/>
                <w:szCs w:val="20"/>
                <w:lang w:val="en-US" w:eastAsia="en-ZA"/>
              </w:rPr>
              <w:t>WWTW</w:t>
            </w:r>
          </w:p>
        </w:tc>
        <w:tc>
          <w:tcPr>
            <w:tcW w:w="2360" w:type="pct"/>
            <w:tcBorders>
              <w:top w:val="nil"/>
              <w:bottom w:val="nil"/>
              <w:right w:val="nil"/>
              <w:tl2br w:val="nil"/>
              <w:tr2bl w:val="nil"/>
            </w:tcBorders>
            <w:shd w:val="clear" w:color="auto" w:fill="BED3E4"/>
            <w:noWrap/>
          </w:tcPr>
          <w:p w14:paraId="3E55D45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color w:val="000000"/>
                <w:sz w:val="20"/>
                <w:szCs w:val="20"/>
                <w:lang w:val="en-US" w:eastAsia="en-ZA"/>
              </w:rPr>
              <w:t>Wastewater Treatment Works</w:t>
            </w:r>
          </w:p>
        </w:tc>
      </w:tr>
      <w:bookmarkEnd w:id="4"/>
    </w:tbl>
    <w:p w14:paraId="35A30FF0" w14:textId="77777777" w:rsidR="005A6DBB" w:rsidRDefault="005A6DBB"/>
    <w:p w14:paraId="4BA7380A" w14:textId="77777777" w:rsidR="005A6DBB" w:rsidRDefault="00F93099">
      <w:pPr>
        <w:pStyle w:val="Heading1"/>
        <w:numPr>
          <w:ilvl w:val="0"/>
          <w:numId w:val="1"/>
        </w:numPr>
        <w:spacing w:before="120" w:after="120" w:line="360" w:lineRule="auto"/>
        <w:ind w:left="709" w:right="147" w:hanging="567"/>
      </w:pPr>
      <w:bookmarkStart w:id="5" w:name="_Toc137732195"/>
      <w:r>
        <w:lastRenderedPageBreak/>
        <w:t>MAJOR SOURCES OF INFORMATION AND DOCUMENTATION</w:t>
      </w:r>
      <w:bookmarkEnd w:id="5"/>
    </w:p>
    <w:tbl>
      <w:tblPr>
        <w:tblStyle w:val="BSWordTable"/>
        <w:tblW w:w="4992" w:type="pct"/>
        <w:tblInd w:w="15" w:type="dxa"/>
        <w:tblLayout w:type="fixed"/>
        <w:tblLook w:val="04A0" w:firstRow="1" w:lastRow="0" w:firstColumn="1" w:lastColumn="0" w:noHBand="0" w:noVBand="1"/>
      </w:tblPr>
      <w:tblGrid>
        <w:gridCol w:w="721"/>
        <w:gridCol w:w="8478"/>
      </w:tblGrid>
      <w:tr w:rsidR="005A6DBB" w14:paraId="53A9E74B" w14:textId="77777777" w:rsidTr="005A6DBB">
        <w:trPr>
          <w:cnfStyle w:val="100000000000" w:firstRow="1" w:lastRow="0" w:firstColumn="0" w:lastColumn="0" w:oddVBand="0" w:evenVBand="0" w:oddHBand="0" w:evenHBand="0" w:firstRowFirstColumn="0" w:firstRowLastColumn="0" w:lastRowFirstColumn="0" w:lastRowLastColumn="0"/>
          <w:trHeight w:val="300"/>
        </w:trPr>
        <w:tc>
          <w:tcPr>
            <w:tcW w:w="392" w:type="pct"/>
            <w:tcBorders>
              <w:right w:val="single" w:sz="2" w:space="0" w:color="FFFFFF"/>
            </w:tcBorders>
            <w:shd w:val="clear" w:color="auto" w:fill="002060"/>
          </w:tcPr>
          <w:p w14:paraId="691DA6E8" w14:textId="77777777" w:rsidR="005A6DBB" w:rsidRDefault="00F93099">
            <w:pPr>
              <w:spacing w:before="120" w:after="120"/>
              <w:jc w:val="center"/>
              <w:rPr>
                <w:rFonts w:asciiTheme="minorHAnsi" w:hAnsiTheme="minorHAnsi" w:cstheme="minorHAnsi"/>
                <w:b w:val="0"/>
                <w:sz w:val="20"/>
                <w:szCs w:val="20"/>
                <w:lang w:val="en-US" w:eastAsia="en-ZA"/>
              </w:rPr>
            </w:pPr>
            <w:r>
              <w:rPr>
                <w:rFonts w:asciiTheme="minorHAnsi" w:hAnsiTheme="minorHAnsi" w:cstheme="minorHAnsi"/>
                <w:sz w:val="20"/>
                <w:szCs w:val="20"/>
                <w:lang w:val="en-US" w:eastAsia="en-ZA"/>
              </w:rPr>
              <w:t>No.</w:t>
            </w:r>
          </w:p>
        </w:tc>
        <w:tc>
          <w:tcPr>
            <w:tcW w:w="4608" w:type="pct"/>
            <w:shd w:val="clear" w:color="auto" w:fill="002060"/>
          </w:tcPr>
          <w:p w14:paraId="3198F2DD" w14:textId="77777777" w:rsidR="005A6DBB" w:rsidRDefault="00F93099">
            <w:pPr>
              <w:spacing w:before="120" w:after="120"/>
              <w:jc w:val="center"/>
              <w:rPr>
                <w:rFonts w:asciiTheme="minorHAnsi" w:hAnsiTheme="minorHAnsi" w:cstheme="minorHAnsi"/>
                <w:b w:val="0"/>
                <w:sz w:val="20"/>
                <w:szCs w:val="20"/>
                <w:lang w:val="en-US" w:eastAsia="en-ZA"/>
              </w:rPr>
            </w:pPr>
            <w:r>
              <w:rPr>
                <w:rFonts w:asciiTheme="minorHAnsi" w:eastAsia="Calibri" w:hAnsiTheme="minorHAnsi" w:cstheme="minorHAnsi"/>
                <w:color w:val="FFFFFF" w:themeColor="background1"/>
                <w:sz w:val="20"/>
                <w:szCs w:val="20"/>
                <w:lang w:eastAsia="en-ZA"/>
              </w:rPr>
              <w:t>Document Source</w:t>
            </w:r>
          </w:p>
        </w:tc>
      </w:tr>
      <w:tr w:rsidR="005A6DBB" w14:paraId="75194437"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tcPr>
          <w:p w14:paraId="381B0E60"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1.</w:t>
            </w:r>
          </w:p>
        </w:tc>
        <w:tc>
          <w:tcPr>
            <w:tcW w:w="4608" w:type="pct"/>
            <w:tcBorders>
              <w:top w:val="nil"/>
              <w:bottom w:val="nil"/>
              <w:right w:val="nil"/>
              <w:tl2br w:val="nil"/>
              <w:tr2bl w:val="nil"/>
            </w:tcBorders>
            <w:shd w:val="clear" w:color="auto" w:fill="D4E1ED"/>
            <w:noWrap/>
          </w:tcPr>
          <w:p w14:paraId="01034275"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sz w:val="20"/>
                <w:szCs w:val="20"/>
                <w:lang w:eastAsia="en-ZA"/>
              </w:rPr>
              <w:t>5 Year Integrated Development Plan 2022 – 2027</w:t>
            </w:r>
          </w:p>
        </w:tc>
      </w:tr>
      <w:tr w:rsidR="005A6DBB" w14:paraId="0816941E"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655AD74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2.</w:t>
            </w:r>
          </w:p>
        </w:tc>
        <w:tc>
          <w:tcPr>
            <w:tcW w:w="4608" w:type="pct"/>
            <w:tcBorders>
              <w:top w:val="nil"/>
              <w:bottom w:val="nil"/>
              <w:right w:val="nil"/>
              <w:tl2br w:val="nil"/>
              <w:tr2bl w:val="nil"/>
            </w:tcBorders>
            <w:shd w:val="clear" w:color="auto" w:fill="BED3E4"/>
            <w:noWrap/>
            <w:vAlign w:val="center"/>
          </w:tcPr>
          <w:p w14:paraId="6901E0B6"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sz w:val="20"/>
                <w:szCs w:val="20"/>
                <w:lang w:eastAsia="en-ZA"/>
              </w:rPr>
              <w:t>Service Delivery and Budget Implementation Plan (SDBIP) 2021/22</w:t>
            </w:r>
          </w:p>
        </w:tc>
      </w:tr>
      <w:tr w:rsidR="005A6DBB" w14:paraId="7CB469ED"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653CE8E3"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3.</w:t>
            </w:r>
          </w:p>
        </w:tc>
        <w:tc>
          <w:tcPr>
            <w:tcW w:w="4608" w:type="pct"/>
            <w:tcBorders>
              <w:top w:val="nil"/>
              <w:bottom w:val="nil"/>
              <w:right w:val="nil"/>
              <w:tl2br w:val="nil"/>
              <w:tr2bl w:val="nil"/>
            </w:tcBorders>
            <w:shd w:val="clear" w:color="auto" w:fill="D4E1ED"/>
            <w:noWrap/>
            <w:vAlign w:val="center"/>
          </w:tcPr>
          <w:p w14:paraId="6CBF29D3"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sz w:val="20"/>
                <w:szCs w:val="20"/>
                <w:lang w:eastAsia="en-ZA"/>
              </w:rPr>
              <w:t>Audit Reports by the Auditor-General of South Africa</w:t>
            </w:r>
          </w:p>
        </w:tc>
      </w:tr>
      <w:tr w:rsidR="005A6DBB" w14:paraId="375CCA7C"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3050A70E"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eastAsia="Calibri" w:hAnsiTheme="minorHAnsi" w:cstheme="minorHAnsi"/>
                <w:color w:val="000000" w:themeColor="text1"/>
                <w:sz w:val="20"/>
                <w:szCs w:val="20"/>
                <w:lang w:eastAsia="en-ZA"/>
              </w:rPr>
              <w:t>4.</w:t>
            </w:r>
          </w:p>
        </w:tc>
        <w:tc>
          <w:tcPr>
            <w:tcW w:w="4608" w:type="pct"/>
            <w:tcBorders>
              <w:top w:val="nil"/>
              <w:bottom w:val="nil"/>
              <w:right w:val="nil"/>
              <w:tl2br w:val="nil"/>
              <w:tr2bl w:val="nil"/>
            </w:tcBorders>
            <w:shd w:val="clear" w:color="auto" w:fill="BED3E4"/>
            <w:noWrap/>
            <w:vAlign w:val="center"/>
          </w:tcPr>
          <w:p w14:paraId="2125849A"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sz w:val="20"/>
                <w:szCs w:val="20"/>
                <w:lang w:eastAsia="en-ZA"/>
              </w:rPr>
              <w:t>The Mid-year Budget and Performance Assessment Report and the Medium-Term Revenue and Expenditure Framework (MTREF) Budget</w:t>
            </w:r>
          </w:p>
        </w:tc>
      </w:tr>
      <w:tr w:rsidR="005A6DBB" w14:paraId="7E583D9D"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7DD0B5E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5.</w:t>
            </w:r>
          </w:p>
        </w:tc>
        <w:tc>
          <w:tcPr>
            <w:tcW w:w="4608" w:type="pct"/>
            <w:tcBorders>
              <w:top w:val="nil"/>
              <w:bottom w:val="nil"/>
              <w:right w:val="nil"/>
              <w:tl2br w:val="nil"/>
              <w:tr2bl w:val="nil"/>
            </w:tcBorders>
            <w:shd w:val="clear" w:color="auto" w:fill="D4E1ED"/>
            <w:noWrap/>
            <w:vAlign w:val="center"/>
          </w:tcPr>
          <w:p w14:paraId="4ADF94B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hAnsiTheme="minorHAnsi" w:cstheme="minorHAnsi"/>
                <w:sz w:val="20"/>
                <w:szCs w:val="20"/>
                <w:lang w:eastAsia="en-ZA"/>
              </w:rPr>
              <w:t>Financial Ratios in Accordance with MFMA Circular 71</w:t>
            </w:r>
          </w:p>
        </w:tc>
      </w:tr>
      <w:tr w:rsidR="005A6DBB" w14:paraId="052E54FD"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1A409EC8"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6.</w:t>
            </w:r>
          </w:p>
        </w:tc>
        <w:tc>
          <w:tcPr>
            <w:tcW w:w="4608" w:type="pct"/>
            <w:tcBorders>
              <w:top w:val="nil"/>
              <w:bottom w:val="nil"/>
              <w:right w:val="nil"/>
              <w:tl2br w:val="nil"/>
              <w:tr2bl w:val="nil"/>
            </w:tcBorders>
            <w:shd w:val="clear" w:color="auto" w:fill="BED3E4"/>
            <w:noWrap/>
            <w:vAlign w:val="center"/>
          </w:tcPr>
          <w:p w14:paraId="3C18241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2021/22 Annual Report</w:t>
            </w:r>
          </w:p>
        </w:tc>
      </w:tr>
      <w:tr w:rsidR="005A6DBB" w14:paraId="1B50B304"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5D7F295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7.</w:t>
            </w:r>
          </w:p>
        </w:tc>
        <w:tc>
          <w:tcPr>
            <w:tcW w:w="4608" w:type="pct"/>
            <w:tcBorders>
              <w:top w:val="nil"/>
              <w:bottom w:val="nil"/>
              <w:right w:val="nil"/>
              <w:tl2br w:val="nil"/>
              <w:tr2bl w:val="nil"/>
            </w:tcBorders>
            <w:shd w:val="clear" w:color="auto" w:fill="D4E1ED"/>
            <w:noWrap/>
            <w:vAlign w:val="center"/>
          </w:tcPr>
          <w:p w14:paraId="726156ED"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 xml:space="preserve">2022/23 Municipal </w:t>
            </w:r>
            <w:proofErr w:type="spellStart"/>
            <w:r>
              <w:rPr>
                <w:rFonts w:asciiTheme="minorHAnsi" w:eastAsia="Calibri" w:hAnsiTheme="minorHAnsi" w:cstheme="minorHAnsi"/>
                <w:color w:val="000000" w:themeColor="text1"/>
                <w:sz w:val="20"/>
                <w:szCs w:val="20"/>
                <w:lang w:eastAsia="en-ZA"/>
              </w:rPr>
              <w:t>mSCOA</w:t>
            </w:r>
            <w:proofErr w:type="spellEnd"/>
            <w:r>
              <w:rPr>
                <w:rFonts w:asciiTheme="minorHAnsi" w:eastAsia="Calibri" w:hAnsiTheme="minorHAnsi" w:cstheme="minorHAnsi"/>
                <w:color w:val="000000" w:themeColor="text1"/>
                <w:sz w:val="20"/>
                <w:szCs w:val="20"/>
                <w:lang w:eastAsia="en-ZA"/>
              </w:rPr>
              <w:t xml:space="preserve"> Strings to Date</w:t>
            </w:r>
          </w:p>
        </w:tc>
      </w:tr>
      <w:tr w:rsidR="005A6DBB" w14:paraId="057AAFA3"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01F0701B"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8.</w:t>
            </w:r>
          </w:p>
        </w:tc>
        <w:tc>
          <w:tcPr>
            <w:tcW w:w="4608" w:type="pct"/>
            <w:tcBorders>
              <w:top w:val="nil"/>
              <w:bottom w:val="nil"/>
              <w:right w:val="nil"/>
              <w:tl2br w:val="nil"/>
              <w:tr2bl w:val="nil"/>
            </w:tcBorders>
            <w:shd w:val="clear" w:color="auto" w:fill="BED3E4"/>
            <w:noWrap/>
            <w:vAlign w:val="center"/>
          </w:tcPr>
          <w:p w14:paraId="00097283"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2021/22 Audited Financial Statements</w:t>
            </w:r>
          </w:p>
        </w:tc>
      </w:tr>
      <w:tr w:rsidR="005A6DBB" w14:paraId="2C98E111"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4EB0B27C"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9.</w:t>
            </w:r>
          </w:p>
        </w:tc>
        <w:tc>
          <w:tcPr>
            <w:tcW w:w="4608" w:type="pct"/>
            <w:tcBorders>
              <w:top w:val="nil"/>
              <w:bottom w:val="nil"/>
              <w:right w:val="nil"/>
              <w:tl2br w:val="nil"/>
              <w:tr2bl w:val="nil"/>
            </w:tcBorders>
            <w:shd w:val="clear" w:color="auto" w:fill="D4E1ED"/>
            <w:noWrap/>
            <w:vAlign w:val="center"/>
          </w:tcPr>
          <w:p w14:paraId="6BBC29B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2020/21 Audited Financial Statements</w:t>
            </w:r>
          </w:p>
        </w:tc>
      </w:tr>
      <w:tr w:rsidR="005A6DBB" w14:paraId="272EAB69"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7FFF1A9F"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10.</w:t>
            </w:r>
          </w:p>
        </w:tc>
        <w:tc>
          <w:tcPr>
            <w:tcW w:w="4608" w:type="pct"/>
            <w:tcBorders>
              <w:top w:val="nil"/>
              <w:bottom w:val="nil"/>
              <w:right w:val="nil"/>
              <w:tl2br w:val="nil"/>
              <w:tr2bl w:val="nil"/>
            </w:tcBorders>
            <w:shd w:val="clear" w:color="auto" w:fill="BED3E4"/>
            <w:noWrap/>
            <w:vAlign w:val="center"/>
          </w:tcPr>
          <w:p w14:paraId="78AD309B"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2019/20 Audited Financial Statements</w:t>
            </w:r>
          </w:p>
        </w:tc>
      </w:tr>
      <w:tr w:rsidR="005A6DBB" w14:paraId="5320147B"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4472B3C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11.</w:t>
            </w:r>
          </w:p>
        </w:tc>
        <w:tc>
          <w:tcPr>
            <w:tcW w:w="4608" w:type="pct"/>
            <w:tcBorders>
              <w:top w:val="nil"/>
              <w:bottom w:val="nil"/>
              <w:right w:val="nil"/>
              <w:tl2br w:val="nil"/>
              <w:tr2bl w:val="nil"/>
            </w:tcBorders>
            <w:shd w:val="clear" w:color="auto" w:fill="D4E1ED"/>
            <w:noWrap/>
            <w:vAlign w:val="center"/>
          </w:tcPr>
          <w:p w14:paraId="7F67FB49"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Management Engagement</w:t>
            </w:r>
          </w:p>
        </w:tc>
      </w:tr>
      <w:tr w:rsidR="005A6DBB" w14:paraId="5FA0CDB0"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10BEA15B"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eastAsia="Calibri" w:hAnsiTheme="minorHAnsi" w:cstheme="minorHAnsi"/>
                <w:color w:val="000000" w:themeColor="text1"/>
                <w:sz w:val="20"/>
                <w:szCs w:val="20"/>
                <w:lang w:eastAsia="en-ZA"/>
              </w:rPr>
              <w:t>12.</w:t>
            </w:r>
          </w:p>
        </w:tc>
        <w:tc>
          <w:tcPr>
            <w:tcW w:w="4608" w:type="pct"/>
            <w:tcBorders>
              <w:top w:val="nil"/>
              <w:bottom w:val="nil"/>
              <w:right w:val="nil"/>
              <w:tl2br w:val="nil"/>
              <w:tr2bl w:val="nil"/>
            </w:tcBorders>
            <w:shd w:val="clear" w:color="auto" w:fill="BED3E4"/>
            <w:noWrap/>
            <w:vAlign w:val="center"/>
          </w:tcPr>
          <w:p w14:paraId="7C40DE65"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The Municipal Website</w:t>
            </w:r>
          </w:p>
        </w:tc>
      </w:tr>
      <w:tr w:rsidR="005A6DBB" w14:paraId="635D86F0"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36FFC2AA"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eastAsia="Calibri" w:hAnsiTheme="minorHAnsi" w:cstheme="minorHAnsi"/>
                <w:color w:val="000000" w:themeColor="text1"/>
                <w:sz w:val="20"/>
                <w:szCs w:val="20"/>
                <w:lang w:eastAsia="en-ZA"/>
              </w:rPr>
              <w:t>13.</w:t>
            </w:r>
          </w:p>
        </w:tc>
        <w:tc>
          <w:tcPr>
            <w:tcW w:w="4608" w:type="pct"/>
            <w:tcBorders>
              <w:top w:val="nil"/>
              <w:bottom w:val="nil"/>
              <w:right w:val="nil"/>
              <w:tl2br w:val="nil"/>
              <w:tr2bl w:val="nil"/>
            </w:tcBorders>
            <w:shd w:val="clear" w:color="auto" w:fill="D4E1ED"/>
            <w:noWrap/>
            <w:vAlign w:val="center"/>
          </w:tcPr>
          <w:p w14:paraId="0CDBB28D"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Various Municipal Documents Including, but not Limited to Policies, Procedures</w:t>
            </w:r>
          </w:p>
        </w:tc>
      </w:tr>
      <w:tr w:rsidR="005A6DBB" w14:paraId="0E500367"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160E9C7A"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eastAsia="Calibri" w:hAnsiTheme="minorHAnsi" w:cstheme="minorHAnsi"/>
                <w:color w:val="000000" w:themeColor="text1"/>
                <w:sz w:val="20"/>
                <w:szCs w:val="20"/>
                <w:lang w:eastAsia="en-ZA"/>
              </w:rPr>
              <w:t>14.</w:t>
            </w:r>
          </w:p>
        </w:tc>
        <w:tc>
          <w:tcPr>
            <w:tcW w:w="4608" w:type="pct"/>
            <w:tcBorders>
              <w:top w:val="nil"/>
              <w:bottom w:val="nil"/>
              <w:right w:val="nil"/>
              <w:tl2br w:val="nil"/>
              <w:tr2bl w:val="nil"/>
            </w:tcBorders>
            <w:shd w:val="clear" w:color="auto" w:fill="BED3E4"/>
            <w:noWrap/>
            <w:vAlign w:val="center"/>
          </w:tcPr>
          <w:p w14:paraId="4995AE64"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AGSA Management Report 2022</w:t>
            </w:r>
          </w:p>
        </w:tc>
      </w:tr>
      <w:tr w:rsidR="005A6DBB" w14:paraId="30CF68B8"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2E9F4E6D" w14:textId="77777777" w:rsidR="005A6DBB" w:rsidRDefault="00F93099">
            <w:pPr>
              <w:spacing w:before="120" w:after="120"/>
              <w:jc w:val="left"/>
              <w:rPr>
                <w:rFonts w:asciiTheme="minorHAnsi" w:hAnsiTheme="minorHAnsi" w:cstheme="minorHAnsi"/>
                <w:color w:val="000000" w:themeColor="text1"/>
                <w:sz w:val="20"/>
                <w:szCs w:val="20"/>
                <w:lang w:val="en-US" w:eastAsia="en-ZA"/>
              </w:rPr>
            </w:pPr>
            <w:r>
              <w:rPr>
                <w:rFonts w:asciiTheme="minorHAnsi" w:eastAsia="Calibri" w:hAnsiTheme="minorHAnsi" w:cstheme="minorHAnsi"/>
                <w:color w:val="000000" w:themeColor="text1"/>
                <w:sz w:val="20"/>
                <w:szCs w:val="20"/>
                <w:lang w:eastAsia="en-ZA"/>
              </w:rPr>
              <w:t>15.</w:t>
            </w:r>
          </w:p>
        </w:tc>
        <w:tc>
          <w:tcPr>
            <w:tcW w:w="4608" w:type="pct"/>
            <w:tcBorders>
              <w:top w:val="nil"/>
              <w:bottom w:val="nil"/>
              <w:right w:val="nil"/>
              <w:tl2br w:val="nil"/>
              <w:tr2bl w:val="nil"/>
            </w:tcBorders>
            <w:shd w:val="clear" w:color="auto" w:fill="D4E1ED"/>
            <w:noWrap/>
            <w:vAlign w:val="center"/>
          </w:tcPr>
          <w:p w14:paraId="3090746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Working Session with the Following Streams: Governance, Organisational/ Institutional, Infrastructure and Finance</w:t>
            </w:r>
          </w:p>
        </w:tc>
      </w:tr>
      <w:tr w:rsidR="005A6DBB" w14:paraId="7162565F" w14:textId="77777777" w:rsidTr="005A6DBB">
        <w:trPr>
          <w:trHeight w:val="315"/>
        </w:trPr>
        <w:tc>
          <w:tcPr>
            <w:tcW w:w="392" w:type="pct"/>
            <w:tcBorders>
              <w:top w:val="nil"/>
              <w:left w:val="nil"/>
              <w:bottom w:val="nil"/>
              <w:right w:val="single" w:sz="2" w:space="0" w:color="FFFFFF"/>
              <w:tl2br w:val="nil"/>
              <w:tr2bl w:val="nil"/>
            </w:tcBorders>
            <w:shd w:val="clear" w:color="auto" w:fill="BED3E4"/>
            <w:noWrap/>
            <w:vAlign w:val="center"/>
          </w:tcPr>
          <w:p w14:paraId="1FF11CA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16.</w:t>
            </w:r>
          </w:p>
        </w:tc>
        <w:tc>
          <w:tcPr>
            <w:tcW w:w="4608" w:type="pct"/>
            <w:tcBorders>
              <w:top w:val="nil"/>
              <w:bottom w:val="nil"/>
              <w:right w:val="nil"/>
              <w:tl2br w:val="nil"/>
              <w:tr2bl w:val="nil"/>
            </w:tcBorders>
            <w:shd w:val="clear" w:color="auto" w:fill="BED3E4"/>
            <w:noWrap/>
            <w:vAlign w:val="center"/>
          </w:tcPr>
          <w:p w14:paraId="7FE438C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Oversight Reports 2021/22</w:t>
            </w:r>
          </w:p>
        </w:tc>
      </w:tr>
      <w:tr w:rsidR="005A6DBB" w14:paraId="081539EC" w14:textId="77777777" w:rsidTr="005A6DBB">
        <w:trPr>
          <w:trHeight w:val="315"/>
        </w:trPr>
        <w:tc>
          <w:tcPr>
            <w:tcW w:w="392" w:type="pct"/>
            <w:tcBorders>
              <w:top w:val="nil"/>
              <w:left w:val="nil"/>
              <w:bottom w:val="nil"/>
              <w:right w:val="single" w:sz="2" w:space="0" w:color="FFFFFF"/>
              <w:tl2br w:val="nil"/>
              <w:tr2bl w:val="nil"/>
            </w:tcBorders>
            <w:shd w:val="clear" w:color="auto" w:fill="D4E1ED"/>
            <w:noWrap/>
            <w:vAlign w:val="center"/>
          </w:tcPr>
          <w:p w14:paraId="649869EE"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17.</w:t>
            </w:r>
          </w:p>
        </w:tc>
        <w:tc>
          <w:tcPr>
            <w:tcW w:w="4608" w:type="pct"/>
            <w:tcBorders>
              <w:top w:val="nil"/>
              <w:bottom w:val="nil"/>
              <w:right w:val="nil"/>
              <w:tl2br w:val="nil"/>
              <w:tr2bl w:val="nil"/>
            </w:tcBorders>
            <w:shd w:val="clear" w:color="auto" w:fill="D4E1ED"/>
            <w:noWrap/>
            <w:vAlign w:val="center"/>
          </w:tcPr>
          <w:p w14:paraId="4624AD32" w14:textId="77777777" w:rsidR="005A6DBB" w:rsidRDefault="00F93099">
            <w:pPr>
              <w:spacing w:before="120" w:after="120"/>
              <w:jc w:val="left"/>
              <w:rPr>
                <w:rFonts w:asciiTheme="minorHAnsi" w:hAnsiTheme="minorHAnsi" w:cstheme="minorHAnsi"/>
                <w:color w:val="000000"/>
                <w:sz w:val="20"/>
                <w:szCs w:val="20"/>
                <w:lang w:val="en-US" w:eastAsia="en-ZA"/>
              </w:rPr>
            </w:pPr>
            <w:r>
              <w:rPr>
                <w:rFonts w:asciiTheme="minorHAnsi" w:eastAsia="Calibri" w:hAnsiTheme="minorHAnsi" w:cstheme="minorHAnsi"/>
                <w:color w:val="000000" w:themeColor="text1"/>
                <w:sz w:val="20"/>
                <w:szCs w:val="20"/>
                <w:lang w:eastAsia="en-ZA"/>
              </w:rPr>
              <w:t>MPAC Report</w:t>
            </w:r>
          </w:p>
        </w:tc>
      </w:tr>
    </w:tbl>
    <w:p w14:paraId="315BD5A6" w14:textId="77777777" w:rsidR="005A6DBB" w:rsidRDefault="005A6DBB"/>
    <w:p w14:paraId="2B1FFCA6" w14:textId="77777777" w:rsidR="005A6DBB" w:rsidRDefault="00F93099">
      <w:pPr>
        <w:pStyle w:val="Heading1"/>
        <w:numPr>
          <w:ilvl w:val="0"/>
          <w:numId w:val="1"/>
        </w:numPr>
        <w:spacing w:before="120" w:after="120" w:line="360" w:lineRule="auto"/>
        <w:ind w:left="709" w:right="147" w:hanging="567"/>
      </w:pPr>
      <w:bookmarkStart w:id="6" w:name="_Toc137732196"/>
      <w:r>
        <w:lastRenderedPageBreak/>
        <w:t>EXECUTIVE SUMMARY</w:t>
      </w:r>
      <w:bookmarkEnd w:id="6"/>
      <w:r>
        <w:t xml:space="preserve"> </w:t>
      </w:r>
    </w:p>
    <w:p w14:paraId="052C40C1" w14:textId="77777777" w:rsidR="005A6DBB" w:rsidRDefault="00F93099">
      <w:pPr>
        <w:pStyle w:val="Heading2"/>
      </w:pPr>
      <w:bookmarkStart w:id="7" w:name="_Toc137732197"/>
      <w:r>
        <w:t>OVERVIEW AND ECONOMIC ASSESSMENT OF MANGAUNG</w:t>
      </w:r>
      <w:bookmarkEnd w:id="7"/>
      <w:r>
        <w:t xml:space="preserve"> </w:t>
      </w:r>
    </w:p>
    <w:p w14:paraId="0DBCD46E" w14:textId="77777777" w:rsidR="005A6DBB" w:rsidRDefault="00F93099">
      <w:pPr>
        <w:spacing w:before="120" w:after="120"/>
        <w:rPr>
          <w:lang w:val="en-US"/>
        </w:rPr>
      </w:pPr>
      <w:r>
        <w:rPr>
          <w:lang w:val="en-US"/>
        </w:rPr>
        <w:t xml:space="preserve">Mangaung Metropolitan Municipality (MMM) covers 9 887 km² and comprises three prominent urban centers namely Bloemfontein, Botshabelo and Thaba Nchu, which are surrounded by an extensive rural area.  It is centrally located within the Free State Province and is accessible via National infrastructure including the N1 (which links Gauteng with the Southern and Western Cape), the N6 (which links Bloemfontein to the Eastern Cape), and the N8 (which links Lesotho in the east and with the Northern Cape in the west via Bloemfontein).  </w:t>
      </w:r>
    </w:p>
    <w:p w14:paraId="202E28CD" w14:textId="77777777" w:rsidR="005A6DBB" w:rsidRDefault="00F93099">
      <w:pPr>
        <w:spacing w:before="120" w:after="120"/>
        <w:rPr>
          <w:lang w:val="en-US"/>
        </w:rPr>
      </w:pPr>
      <w:r>
        <w:rPr>
          <w:lang w:val="en-US"/>
        </w:rPr>
        <w:t>The service sector of the economy plays a predominant part of the economic base in Mangaung and is dependent, directly or indirectly, on the services that are provided by MMM to service their clients.  Should MMM fail to deliver these services it would have a significant negative impact on the businesses in this sector, which could result in a decrease in productivity, decrease in GDP and an increase in unemployment, just to mention a few.</w:t>
      </w:r>
    </w:p>
    <w:p w14:paraId="25DFF3BA" w14:textId="77777777" w:rsidR="005A6DBB" w:rsidRDefault="00F93099">
      <w:pPr>
        <w:keepNext/>
        <w:spacing w:before="120" w:after="120"/>
        <w:jc w:val="center"/>
      </w:pPr>
      <w:r>
        <w:rPr>
          <w:rFonts w:cs="Calibri"/>
          <w:noProof/>
          <w:color w:val="0000FF"/>
          <w:sz w:val="20"/>
          <w:szCs w:val="20"/>
          <w:lang w:val="en-ZA" w:eastAsia="en-ZA"/>
        </w:rPr>
        <w:drawing>
          <wp:inline distT="0" distB="0" distL="0" distR="0" wp14:anchorId="3CA22CEC" wp14:editId="34A23F0A">
            <wp:extent cx="3465195" cy="2904490"/>
            <wp:effectExtent l="0" t="0" r="0" b="0"/>
            <wp:docPr id="17" name="Picture 17" descr="Image result for mangaung location ma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result for mangaung location 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65195" cy="2904490"/>
                    </a:xfrm>
                    <a:prstGeom prst="rect">
                      <a:avLst/>
                    </a:prstGeom>
                    <a:noFill/>
                    <a:ln>
                      <a:noFill/>
                    </a:ln>
                  </pic:spPr>
                </pic:pic>
              </a:graphicData>
            </a:graphic>
          </wp:inline>
        </w:drawing>
      </w:r>
    </w:p>
    <w:p w14:paraId="1B95E357" w14:textId="31844B9B" w:rsidR="005A6DBB" w:rsidRDefault="00F93099">
      <w:pPr>
        <w:pStyle w:val="Caption"/>
        <w:jc w:val="center"/>
        <w:rPr>
          <w:lang w:val="en-US"/>
        </w:rPr>
      </w:pPr>
      <w:r>
        <w:t xml:space="preserve">Figure </w:t>
      </w:r>
      <w:r>
        <w:fldChar w:fldCharType="begin"/>
      </w:r>
      <w:r>
        <w:instrText xml:space="preserve"> SEQ Figure \* ARABIC </w:instrText>
      </w:r>
      <w:r>
        <w:fldChar w:fldCharType="separate"/>
      </w:r>
      <w:r w:rsidR="00A564BE">
        <w:rPr>
          <w:noProof/>
        </w:rPr>
        <w:t>1</w:t>
      </w:r>
      <w:r>
        <w:fldChar w:fldCharType="end"/>
      </w:r>
      <w:r>
        <w:t>: Map of Mangaung and Neighbouring Municipalities</w:t>
      </w:r>
    </w:p>
    <w:p w14:paraId="603F3FFE" w14:textId="77777777" w:rsidR="005A6DBB" w:rsidRDefault="00F93099">
      <w:pPr>
        <w:spacing w:before="120" w:after="120"/>
        <w:rPr>
          <w:lang w:val="en-US"/>
        </w:rPr>
      </w:pPr>
      <w:r>
        <w:rPr>
          <w:lang w:val="en-US"/>
        </w:rPr>
        <w:t xml:space="preserve">The Mangaung Local Municipality was established in 2000 with the amalgamation of four former Transitional Local Councils but was in April 2011 elevated from category “B” Municipality to a category “A” Metropolitan Municipality.  On the 3rd of August 2016, the former Naledi Local Municipality and </w:t>
      </w:r>
      <w:r>
        <w:rPr>
          <w:lang w:val="en-US"/>
        </w:rPr>
        <w:lastRenderedPageBreak/>
        <w:t xml:space="preserve">Ikgomotseng which formed part of </w:t>
      </w:r>
      <w:proofErr w:type="spellStart"/>
      <w:r>
        <w:rPr>
          <w:lang w:val="en-US"/>
        </w:rPr>
        <w:t>Masilonyana</w:t>
      </w:r>
      <w:proofErr w:type="spellEnd"/>
      <w:r>
        <w:rPr>
          <w:lang w:val="en-US"/>
        </w:rPr>
        <w:t xml:space="preserve"> Local Municipality were merged with the Mangaung Metropolitan Municipality (MMM) to form one Municipality.  </w:t>
      </w:r>
    </w:p>
    <w:p w14:paraId="7586E6BC" w14:textId="77777777" w:rsidR="005A6DBB" w:rsidRDefault="00F93099">
      <w:pPr>
        <w:spacing w:before="120" w:after="120"/>
        <w:rPr>
          <w:lang w:val="en-US"/>
        </w:rPr>
      </w:pPr>
      <w:r>
        <w:rPr>
          <w:lang w:val="en-US"/>
        </w:rPr>
        <w:t>The MMM comprises the cities/ towns of Bloemfontein, Mangaung, Botshabelo, Thaba Nchu, Soutpan, Dewetsdorp, Wepener and Van Stadensrus.  The town of Bloemfontein is the seat of the Appeal Court and as such receives coverage in the media when matters of high public interest is heard.</w:t>
      </w:r>
    </w:p>
    <w:p w14:paraId="534EB6FA" w14:textId="77777777" w:rsidR="005A6DBB" w:rsidRDefault="00F93099">
      <w:pPr>
        <w:spacing w:before="120" w:after="120"/>
        <w:rPr>
          <w:lang w:val="en-US"/>
        </w:rPr>
      </w:pPr>
      <w:r>
        <w:rPr>
          <w:lang w:val="en-US"/>
        </w:rPr>
        <w:t>The Mangaung Municipality had a population size of 878 834 people in 2019, almost a quarter (28%) of the population in the Free State province.  The total population for the Free State Province is estimated to increase to 3 203 333 by 2026, growing at an average annual rate of 0.42 %.  The growth rate of the Municipal area is greater to that of the province between 2016 and 2019 (0.18 %).  The Mangaung Municipality had 260 228 households in 2016, which is expected to rise to 305 792 by 2026.</w:t>
      </w:r>
    </w:p>
    <w:p w14:paraId="0DCE7841" w14:textId="77777777" w:rsidR="005A6DBB" w:rsidRDefault="00F93099">
      <w:pPr>
        <w:spacing w:before="120" w:after="120"/>
        <w:rPr>
          <w:lang w:val="en-US"/>
        </w:rPr>
      </w:pPr>
      <w:r>
        <w:rPr>
          <w:lang w:val="en-US"/>
        </w:rPr>
        <w:t>Approximately 36.6% of the population lives in poverty, with an unemployment rate of 25.3%.</w:t>
      </w:r>
    </w:p>
    <w:p w14:paraId="44E80A83" w14:textId="77777777" w:rsidR="005A6DBB" w:rsidRDefault="00F93099">
      <w:pPr>
        <w:spacing w:before="120" w:after="120"/>
        <w:rPr>
          <w:lang w:val="en-US"/>
        </w:rPr>
      </w:pPr>
      <w:r>
        <w:rPr>
          <w:lang w:val="en-US"/>
        </w:rPr>
        <w:t xml:space="preserve">The functional adult literacy rate of the population is the percentage of persons older than 20 with the highest level of education being Grade 7 and higher (those that have less than Grade 7 as the highest level of education are classified as illiterate).  The literacy rate of the population influences the employability of the local </w:t>
      </w:r>
      <w:proofErr w:type="spellStart"/>
      <w:r>
        <w:rPr>
          <w:lang w:val="en-US"/>
        </w:rPr>
        <w:t>labour</w:t>
      </w:r>
      <w:proofErr w:type="spellEnd"/>
      <w:r>
        <w:rPr>
          <w:lang w:val="en-US"/>
        </w:rPr>
        <w:t xml:space="preserve"> force and hence the economy and sustainability of the Municipality.</w:t>
      </w:r>
    </w:p>
    <w:p w14:paraId="14E82693" w14:textId="77777777" w:rsidR="005A6DBB" w:rsidRDefault="00F93099">
      <w:pPr>
        <w:keepNext/>
        <w:spacing w:before="120" w:after="120"/>
        <w:jc w:val="center"/>
      </w:pPr>
      <w:r>
        <w:rPr>
          <w:noProof/>
          <w:lang w:val="en-ZA" w:eastAsia="en-ZA"/>
        </w:rPr>
        <w:drawing>
          <wp:inline distT="0" distB="0" distL="0" distR="0" wp14:anchorId="4F592C49" wp14:editId="2B04DB91">
            <wp:extent cx="3284220" cy="192786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pic:cNvPicPr>
                  </pic:nvPicPr>
                  <pic:blipFill>
                    <a:blip r:embed="rId21"/>
                    <a:stretch>
                      <a:fillRect/>
                    </a:stretch>
                  </pic:blipFill>
                  <pic:spPr>
                    <a:xfrm>
                      <a:off x="0" y="0"/>
                      <a:ext cx="3284507" cy="1928028"/>
                    </a:xfrm>
                    <a:prstGeom prst="rect">
                      <a:avLst/>
                    </a:prstGeom>
                  </pic:spPr>
                </pic:pic>
              </a:graphicData>
            </a:graphic>
          </wp:inline>
        </w:drawing>
      </w:r>
    </w:p>
    <w:p w14:paraId="291C86DB" w14:textId="2DD6D5D3" w:rsidR="005A6DBB" w:rsidRDefault="00F93099">
      <w:pPr>
        <w:pStyle w:val="Caption"/>
        <w:jc w:val="center"/>
        <w:rPr>
          <w:lang w:val="en-US"/>
        </w:rPr>
      </w:pPr>
      <w:r>
        <w:t xml:space="preserve">Figure </w:t>
      </w:r>
      <w:r>
        <w:fldChar w:fldCharType="begin"/>
      </w:r>
      <w:r>
        <w:instrText xml:space="preserve"> SEQ Figure \* ARABIC </w:instrText>
      </w:r>
      <w:r>
        <w:fldChar w:fldCharType="separate"/>
      </w:r>
      <w:r w:rsidR="00A564BE">
        <w:rPr>
          <w:noProof/>
        </w:rPr>
        <w:t>2</w:t>
      </w:r>
      <w:r>
        <w:fldChar w:fldCharType="end"/>
      </w:r>
      <w:r>
        <w:t>: Adult literacy rate</w:t>
      </w:r>
    </w:p>
    <w:p w14:paraId="466E54E7" w14:textId="77777777" w:rsidR="005A6DBB" w:rsidRDefault="00F93099">
      <w:pPr>
        <w:spacing w:before="120" w:after="120"/>
        <w:rPr>
          <w:lang w:val="en-US"/>
        </w:rPr>
      </w:pPr>
      <w:r>
        <w:rPr>
          <w:lang w:val="en-US"/>
        </w:rPr>
        <w:t>The life expectancy in the Mangaung Municipality has increased from 60 to 61 years between 2016 and 2019.  Furthermore, the life expectancy in the Mangaung Municipality is greater compared with that of the Free State Province.</w:t>
      </w:r>
    </w:p>
    <w:p w14:paraId="11BBF77D" w14:textId="77777777" w:rsidR="005A6DBB" w:rsidRDefault="00F93099">
      <w:pPr>
        <w:keepNext/>
        <w:spacing w:before="120" w:after="120"/>
        <w:jc w:val="center"/>
      </w:pPr>
      <w:r>
        <w:rPr>
          <w:noProof/>
          <w:lang w:val="en-ZA" w:eastAsia="en-ZA"/>
        </w:rPr>
        <w:lastRenderedPageBreak/>
        <w:drawing>
          <wp:inline distT="0" distB="0" distL="0" distR="0" wp14:anchorId="7468047E" wp14:editId="5581462A">
            <wp:extent cx="5692140" cy="21031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tretch>
                      <a:fillRect/>
                    </a:stretch>
                  </pic:blipFill>
                  <pic:spPr>
                    <a:xfrm>
                      <a:off x="0" y="0"/>
                      <a:ext cx="5692636" cy="2103303"/>
                    </a:xfrm>
                    <a:prstGeom prst="rect">
                      <a:avLst/>
                    </a:prstGeom>
                  </pic:spPr>
                </pic:pic>
              </a:graphicData>
            </a:graphic>
          </wp:inline>
        </w:drawing>
      </w:r>
    </w:p>
    <w:p w14:paraId="73123A84" w14:textId="5436ABD6" w:rsidR="005A6DBB" w:rsidRDefault="00F93099">
      <w:pPr>
        <w:pStyle w:val="Caption"/>
        <w:jc w:val="center"/>
        <w:rPr>
          <w:lang w:val="en-US"/>
        </w:rPr>
      </w:pPr>
      <w:r>
        <w:t xml:space="preserve">Figure </w:t>
      </w:r>
      <w:r>
        <w:fldChar w:fldCharType="begin"/>
      </w:r>
      <w:r>
        <w:instrText xml:space="preserve"> SEQ Figure \* ARABIC </w:instrText>
      </w:r>
      <w:r>
        <w:fldChar w:fldCharType="separate"/>
      </w:r>
      <w:r w:rsidR="00A564BE">
        <w:rPr>
          <w:noProof/>
        </w:rPr>
        <w:t>3</w:t>
      </w:r>
      <w:r>
        <w:fldChar w:fldCharType="end"/>
      </w:r>
      <w:r>
        <w:t>: Mangaung life expectancy</w:t>
      </w:r>
    </w:p>
    <w:p w14:paraId="1D5BDE6E" w14:textId="77777777" w:rsidR="005A6DBB" w:rsidRDefault="00F93099">
      <w:pPr>
        <w:spacing w:before="120" w:after="120"/>
        <w:rPr>
          <w:lang w:val="en-US"/>
        </w:rPr>
      </w:pPr>
      <w:r>
        <w:rPr>
          <w:lang w:val="en-US"/>
        </w:rPr>
        <w:t>In the Mangaung Municipality, the number of clients starting ART decreased from 10 721 to 7 916 between 2016 and 2019.  In 2016, 24.7 % of people receiving ART in the Mangaung District resided in the Free State Province.  This decreased to 24.1 % in 2019.</w:t>
      </w:r>
    </w:p>
    <w:tbl>
      <w:tblPr>
        <w:tblStyle w:val="TableGrid"/>
        <w:tblW w:w="0" w:type="auto"/>
        <w:tblLook w:val="04A0" w:firstRow="1" w:lastRow="0" w:firstColumn="1" w:lastColumn="0" w:noHBand="0" w:noVBand="1"/>
      </w:tblPr>
      <w:tblGrid>
        <w:gridCol w:w="1314"/>
        <w:gridCol w:w="2630"/>
        <w:gridCol w:w="1315"/>
        <w:gridCol w:w="1315"/>
        <w:gridCol w:w="1315"/>
        <w:gridCol w:w="1315"/>
      </w:tblGrid>
      <w:tr w:rsidR="005A6DBB" w14:paraId="49729EF5" w14:textId="77777777">
        <w:trPr>
          <w:tblHeader/>
        </w:trPr>
        <w:tc>
          <w:tcPr>
            <w:tcW w:w="3944" w:type="dxa"/>
            <w:gridSpan w:val="2"/>
            <w:shd w:val="clear" w:color="auto" w:fill="002060"/>
          </w:tcPr>
          <w:p w14:paraId="6870DAD4" w14:textId="77777777" w:rsidR="005A6DBB" w:rsidRDefault="00F93099">
            <w:pPr>
              <w:spacing w:before="120" w:after="120"/>
              <w:rPr>
                <w:rFonts w:asciiTheme="minorHAnsi" w:hAnsiTheme="minorHAnsi" w:cstheme="minorHAnsi"/>
                <w:sz w:val="18"/>
                <w:szCs w:val="18"/>
                <w:lang w:val="en-US"/>
              </w:rPr>
            </w:pPr>
            <w:r>
              <w:rPr>
                <w:rFonts w:asciiTheme="minorHAnsi" w:hAnsiTheme="minorHAnsi" w:cstheme="minorHAnsi"/>
                <w:sz w:val="18"/>
                <w:szCs w:val="18"/>
                <w:lang w:val="en-US"/>
              </w:rPr>
              <w:t>HIV TREATMENT INDICATORS, 2016 - 2019</w:t>
            </w:r>
          </w:p>
        </w:tc>
        <w:tc>
          <w:tcPr>
            <w:tcW w:w="1315" w:type="dxa"/>
            <w:shd w:val="clear" w:color="auto" w:fill="002060"/>
          </w:tcPr>
          <w:p w14:paraId="4C87F20C"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2016</w:t>
            </w:r>
          </w:p>
        </w:tc>
        <w:tc>
          <w:tcPr>
            <w:tcW w:w="1315" w:type="dxa"/>
            <w:shd w:val="clear" w:color="auto" w:fill="002060"/>
          </w:tcPr>
          <w:p w14:paraId="165D99F1"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2017</w:t>
            </w:r>
          </w:p>
        </w:tc>
        <w:tc>
          <w:tcPr>
            <w:tcW w:w="1315" w:type="dxa"/>
            <w:shd w:val="clear" w:color="auto" w:fill="002060"/>
          </w:tcPr>
          <w:p w14:paraId="1FE77564"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2018</w:t>
            </w:r>
          </w:p>
        </w:tc>
        <w:tc>
          <w:tcPr>
            <w:tcW w:w="1315" w:type="dxa"/>
            <w:shd w:val="clear" w:color="auto" w:fill="002060"/>
          </w:tcPr>
          <w:p w14:paraId="0D8F31B5"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2019</w:t>
            </w:r>
          </w:p>
        </w:tc>
      </w:tr>
      <w:tr w:rsidR="005A6DBB" w14:paraId="2A9D9E96" w14:textId="77777777">
        <w:trPr>
          <w:trHeight w:val="489"/>
        </w:trPr>
        <w:tc>
          <w:tcPr>
            <w:tcW w:w="1314" w:type="dxa"/>
          </w:tcPr>
          <w:p w14:paraId="4D48EB4E"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val="en-US" w:eastAsia="en-ZA"/>
              </w:rPr>
              <w:t>Mangaung</w:t>
            </w:r>
          </w:p>
        </w:tc>
        <w:tc>
          <w:tcPr>
            <w:tcW w:w="2630" w:type="dxa"/>
          </w:tcPr>
          <w:p w14:paraId="0177E210"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val="en-US" w:eastAsia="en-ZA"/>
              </w:rPr>
              <w:t>Patients starting ART treatment</w:t>
            </w:r>
          </w:p>
        </w:tc>
        <w:tc>
          <w:tcPr>
            <w:tcW w:w="1315" w:type="dxa"/>
          </w:tcPr>
          <w:p w14:paraId="6F28214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10,721</w:t>
            </w:r>
          </w:p>
        </w:tc>
        <w:tc>
          <w:tcPr>
            <w:tcW w:w="1315" w:type="dxa"/>
          </w:tcPr>
          <w:p w14:paraId="71928E97"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10,416</w:t>
            </w:r>
          </w:p>
        </w:tc>
        <w:tc>
          <w:tcPr>
            <w:tcW w:w="1315" w:type="dxa"/>
          </w:tcPr>
          <w:p w14:paraId="1E7539C2"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8,856</w:t>
            </w:r>
          </w:p>
        </w:tc>
        <w:tc>
          <w:tcPr>
            <w:tcW w:w="1315" w:type="dxa"/>
          </w:tcPr>
          <w:p w14:paraId="1235878B"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7,916</w:t>
            </w:r>
          </w:p>
        </w:tc>
      </w:tr>
      <w:tr w:rsidR="005A6DBB" w14:paraId="4935C5EA" w14:textId="77777777">
        <w:trPr>
          <w:trHeight w:val="469"/>
        </w:trPr>
        <w:tc>
          <w:tcPr>
            <w:tcW w:w="1314" w:type="dxa"/>
          </w:tcPr>
          <w:p w14:paraId="7BD9B814"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val="en-US" w:eastAsia="en-ZA"/>
              </w:rPr>
              <w:t>Free State</w:t>
            </w:r>
          </w:p>
        </w:tc>
        <w:tc>
          <w:tcPr>
            <w:tcW w:w="2630" w:type="dxa"/>
          </w:tcPr>
          <w:p w14:paraId="6A77E46E"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val="en-US" w:eastAsia="en-ZA"/>
              </w:rPr>
              <w:t>Patients starting ART treatment</w:t>
            </w:r>
          </w:p>
        </w:tc>
        <w:tc>
          <w:tcPr>
            <w:tcW w:w="1315" w:type="dxa"/>
          </w:tcPr>
          <w:p w14:paraId="148331E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46,765</w:t>
            </w:r>
          </w:p>
        </w:tc>
        <w:tc>
          <w:tcPr>
            <w:tcW w:w="1315" w:type="dxa"/>
          </w:tcPr>
          <w:p w14:paraId="081DE12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40,676</w:t>
            </w:r>
          </w:p>
        </w:tc>
        <w:tc>
          <w:tcPr>
            <w:tcW w:w="1315" w:type="dxa"/>
          </w:tcPr>
          <w:p w14:paraId="7D54640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36,617</w:t>
            </w:r>
          </w:p>
        </w:tc>
        <w:tc>
          <w:tcPr>
            <w:tcW w:w="1315" w:type="dxa"/>
          </w:tcPr>
          <w:p w14:paraId="298E0A81" w14:textId="77777777" w:rsidR="005A6DBB" w:rsidRDefault="00F93099">
            <w:pPr>
              <w:keepNext/>
              <w:spacing w:before="120" w:after="120"/>
              <w:jc w:val="right"/>
              <w:rPr>
                <w:rFonts w:asciiTheme="minorHAnsi" w:hAnsiTheme="minorHAnsi" w:cstheme="minorHAnsi"/>
                <w:sz w:val="18"/>
                <w:szCs w:val="18"/>
                <w:lang w:val="en-US" w:eastAsia="en-ZA"/>
              </w:rPr>
            </w:pPr>
            <w:r>
              <w:rPr>
                <w:rFonts w:asciiTheme="minorHAnsi" w:eastAsiaTheme="minorHAnsi" w:hAnsiTheme="minorHAnsi" w:cstheme="minorHAnsi"/>
                <w:sz w:val="18"/>
                <w:szCs w:val="18"/>
                <w:lang w:val="en-ZA" w:eastAsia="en-ZA"/>
              </w:rPr>
              <w:t>35,058</w:t>
            </w:r>
          </w:p>
        </w:tc>
      </w:tr>
    </w:tbl>
    <w:p w14:paraId="2EF66DB0" w14:textId="382AE096"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1</w:t>
      </w:r>
      <w:r>
        <w:fldChar w:fldCharType="end"/>
      </w:r>
      <w:r>
        <w:t xml:space="preserve"> - HIV Treatment: Source National Treasury</w:t>
      </w:r>
    </w:p>
    <w:p w14:paraId="3EDABDF2" w14:textId="77777777" w:rsidR="005A6DBB" w:rsidRDefault="00F93099">
      <w:pPr>
        <w:spacing w:before="120" w:after="120"/>
        <w:rPr>
          <w:lang w:val="en-US"/>
        </w:rPr>
      </w:pPr>
      <w:r>
        <w:rPr>
          <w:lang w:val="en-US"/>
        </w:rPr>
        <w:t>The Municipality has faced and continues to face various challenges in terms of service delivery, administration, financial management and governance.  In recognising these challenges, the city undertook a strategic development review in 2017 which provided recommendations to strengthen spatial transformation, economic development, organisational and governance strengthening, improved service delivery and a need to develop and implement a financial recovery plan. </w:t>
      </w:r>
    </w:p>
    <w:p w14:paraId="68B5D1EA" w14:textId="77777777" w:rsidR="005A6DBB" w:rsidRDefault="00F93099">
      <w:pPr>
        <w:spacing w:before="120" w:after="120"/>
        <w:rPr>
          <w:lang w:val="en-US"/>
        </w:rPr>
      </w:pPr>
      <w:r>
        <w:rPr>
          <w:lang w:val="en-US"/>
        </w:rPr>
        <w:t>The Free State Provincial Executive placed the MMM under a mandatory intervention in terms of Section 139(5) (a) and (c) of the Constitution in December 2019.  A mandatory financial recovery plan was subsequently imposed on the Municipality in 2020.  After failing for more than two years to implement the financial recovery plan during the provincial intervention, the Metro has now been placed under a national intervention in terms of Section 139(7) of the Constitution.</w:t>
      </w:r>
    </w:p>
    <w:p w14:paraId="2242F885" w14:textId="77777777" w:rsidR="005A6DBB" w:rsidRDefault="00F93099">
      <w:pPr>
        <w:spacing w:before="120" w:after="120"/>
        <w:rPr>
          <w:lang w:val="en-US"/>
        </w:rPr>
      </w:pPr>
      <w:r>
        <w:rPr>
          <w:lang w:val="en-US"/>
        </w:rPr>
        <w:t xml:space="preserve">The managerial autonomy of senior Municipal officials has subsequently been limited by the National Cabinet through resolution of Cabinet.  This allows the National Cabinet Representative and the appointed support team to assume the responsibility for the implementation of the imposed mandatory </w:t>
      </w:r>
      <w:r>
        <w:rPr>
          <w:lang w:val="en-US"/>
        </w:rPr>
        <w:lastRenderedPageBreak/>
        <w:t xml:space="preserve">financial recovery plan and the overall recovery processes.  Given the inability or reluctance to implement the previous recovery plans, it will be recommended that measures now be implemented that would go to the core of the problems in the Municipality in terms of service delivery, administration, financial management and governance. </w:t>
      </w:r>
    </w:p>
    <w:p w14:paraId="7E44B91D" w14:textId="77777777" w:rsidR="005A6DBB" w:rsidRDefault="00F93099">
      <w:pPr>
        <w:spacing w:before="120" w:after="120"/>
        <w:rPr>
          <w:lang w:val="en-US"/>
        </w:rPr>
      </w:pPr>
      <w:r>
        <w:rPr>
          <w:lang w:val="en-US"/>
        </w:rPr>
        <w:t>The challenges in summary include:</w:t>
      </w:r>
    </w:p>
    <w:p w14:paraId="2D7E939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Significant deterioration of the City’s financial health and service delivery performance demonstrated by the financial and non-financial performance since 2016/17 as evident in annual financial statements and mid-year performance reports;</w:t>
      </w:r>
    </w:p>
    <w:p w14:paraId="6BF0935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Deteriorating financial management and credit control (including declining Auditor-General outcomes);</w:t>
      </w:r>
    </w:p>
    <w:p w14:paraId="0750829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Poor governance and political oversight is;</w:t>
      </w:r>
    </w:p>
    <w:p w14:paraId="36AF820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Poor communication with communities and key stakeholders; and</w:t>
      </w:r>
    </w:p>
    <w:p w14:paraId="061AFFF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Lack of strengthening and improving the functionality of the administration.</w:t>
      </w:r>
    </w:p>
    <w:p w14:paraId="54DB330C" w14:textId="77777777" w:rsidR="005A6DBB" w:rsidRDefault="00F93099">
      <w:pPr>
        <w:spacing w:before="120" w:after="120"/>
        <w:rPr>
          <w:lang w:val="en-US"/>
        </w:rPr>
      </w:pPr>
      <w:r>
        <w:rPr>
          <w:lang w:val="en-US"/>
        </w:rPr>
        <w:t xml:space="preserve">The Municipality is plagued by political and administrative instability.  This instability filters through to the daily operations and functions of the Municipality, and through to the public and ordinary employees taking to the streets in </w:t>
      </w:r>
      <w:bookmarkStart w:id="8" w:name="_Int_9zekjj8l"/>
      <w:r>
        <w:rPr>
          <w:lang w:val="en-US"/>
        </w:rPr>
        <w:t>protest against</w:t>
      </w:r>
      <w:bookmarkEnd w:id="8"/>
      <w:r>
        <w:rPr>
          <w:lang w:val="en-US"/>
        </w:rPr>
        <w:t xml:space="preserve"> poor service delivery, vandalism, destruction of property, etc..</w:t>
      </w:r>
    </w:p>
    <w:p w14:paraId="78423EA7" w14:textId="77777777" w:rsidR="005A6DBB" w:rsidRDefault="00F93099">
      <w:pPr>
        <w:spacing w:before="120" w:after="120"/>
        <w:rPr>
          <w:lang w:val="en-US"/>
        </w:rPr>
      </w:pPr>
      <w:r>
        <w:rPr>
          <w:lang w:val="en-US"/>
        </w:rPr>
        <w:t xml:space="preserve">Given the above and the urgency to ensure service delivery to communities and financial viability and sustainability, the review, development and implementation of a financial recovery plan (FRP or Plan), is seen as a critical way forward for recovery and turnaround for MMM.  </w:t>
      </w:r>
    </w:p>
    <w:p w14:paraId="206A9112" w14:textId="77777777" w:rsidR="005A6DBB" w:rsidRDefault="00F93099">
      <w:pPr>
        <w:spacing w:before="120" w:after="120"/>
        <w:rPr>
          <w:lang w:val="en-US"/>
        </w:rPr>
      </w:pPr>
      <w:r>
        <w:rPr>
          <w:lang w:val="en-US"/>
        </w:rPr>
        <w:t>The FRP will be used to guide the Municipality, the Intervention Team and a new management team in addressing the financial, service delivery and governance crisis and associated challenges at MMM.</w:t>
      </w:r>
    </w:p>
    <w:p w14:paraId="334C1184" w14:textId="77777777" w:rsidR="005A6DBB" w:rsidRDefault="00F93099">
      <w:pPr>
        <w:pStyle w:val="Heading2"/>
      </w:pPr>
      <w:bookmarkStart w:id="9" w:name="_Toc131672480"/>
      <w:bookmarkStart w:id="10" w:name="_Toc131672417"/>
      <w:bookmarkStart w:id="11" w:name="_Toc137732198"/>
      <w:bookmarkEnd w:id="9"/>
      <w:bookmarkEnd w:id="10"/>
      <w:r>
        <w:t>STATUTORY AND LEGISLATIVE CONTEXT</w:t>
      </w:r>
      <w:bookmarkEnd w:id="11"/>
      <w:r>
        <w:t xml:space="preserve"> </w:t>
      </w:r>
    </w:p>
    <w:p w14:paraId="0848D4B7" w14:textId="77777777" w:rsidR="005A6DBB" w:rsidRDefault="00F93099">
      <w:pPr>
        <w:spacing w:before="120" w:after="120"/>
        <w:rPr>
          <w:lang w:val="en-US"/>
        </w:rPr>
      </w:pPr>
      <w:r>
        <w:rPr>
          <w:lang w:val="en-US"/>
        </w:rPr>
        <w:t>Chapter 13 of the Municipal Financial Management Act, 2003 (MFMA) regulates the resolution of financial problems at Municipalities noting that the primary responsibility to avoid, identify and resolve financial problems in a Municipality rest with the Municipality and Council itself.</w:t>
      </w:r>
    </w:p>
    <w:p w14:paraId="6D152933" w14:textId="77777777" w:rsidR="005A6DBB" w:rsidRDefault="00F93099">
      <w:pPr>
        <w:spacing w:before="120" w:after="120"/>
        <w:rPr>
          <w:lang w:val="en-US"/>
        </w:rPr>
      </w:pPr>
      <w:r>
        <w:rPr>
          <w:lang w:val="en-US"/>
        </w:rPr>
        <w:t xml:space="preserve">Section 138 of the MFMA highlights the factors, singularly or in combination, that may indicate a serious financial problem.  Some of these factors have been identified at MMM hence the national intervention was invoked in the Municipality.  </w:t>
      </w:r>
    </w:p>
    <w:p w14:paraId="5FDA769F" w14:textId="77777777" w:rsidR="005A6DBB" w:rsidRDefault="00F93099">
      <w:pPr>
        <w:spacing w:before="120" w:after="120"/>
        <w:rPr>
          <w:lang w:val="en-US"/>
        </w:rPr>
      </w:pPr>
      <w:r>
        <w:rPr>
          <w:lang w:val="en-US"/>
        </w:rPr>
        <w:lastRenderedPageBreak/>
        <w:t>The intervention at MMM is a Mandatory Intervention in terms of S139 of the MFMA brought about as a result of a crisis in its financial affairs, a serious and persistent material breach of the Municipality’s obligations to provide basic services and to meet its financial commitments.  The above is elaborated on further within the status quo assessment of this report.  The mandatory intervention in this instance is being implemented by National Treasury as per section 139(5)(a) and (c) of the Constitution read together with section 150 of the MFMA.</w:t>
      </w:r>
    </w:p>
    <w:p w14:paraId="5B059D95" w14:textId="77777777" w:rsidR="005A6DBB" w:rsidRDefault="00F93099">
      <w:pPr>
        <w:spacing w:before="120" w:after="120"/>
        <w:rPr>
          <w:lang w:val="en-US"/>
        </w:rPr>
      </w:pPr>
      <w:r>
        <w:rPr>
          <w:lang w:val="en-US"/>
        </w:rPr>
        <w:t>In accordance with S141 of the MFMA, only the Municipal Financial Recovery Service may prepare a financial recovery plan for a mandatory intervention referred to in section 139.  When preparing a financial recovery plan various stakeholders must be consulted and previous FRP’s taken into account.</w:t>
      </w:r>
    </w:p>
    <w:p w14:paraId="017B4595" w14:textId="77777777" w:rsidR="005A6DBB" w:rsidRDefault="00F93099">
      <w:pPr>
        <w:spacing w:before="120" w:after="120"/>
        <w:rPr>
          <w:rFonts w:asciiTheme="minorHAnsi" w:hAnsiTheme="minorHAnsi" w:cstheme="minorHAnsi"/>
          <w:szCs w:val="22"/>
          <w:lang w:val="en-US"/>
        </w:rPr>
      </w:pPr>
      <w:r>
        <w:rPr>
          <w:rFonts w:asciiTheme="minorHAnsi" w:hAnsiTheme="minorHAnsi" w:cstheme="minorHAnsi"/>
          <w:szCs w:val="22"/>
          <w:lang w:val="en-US"/>
        </w:rPr>
        <w:t>In a national, intervention, S139 (1) of the MFMA read with section 150 of the MFMA places the responsibility on the Cabinet to request the Municipal Financial Recovery Services (MFRS) unit in the National Treasury to prepare an FRP, which considers the reasons for the financial crisis and an assessment of the Municipality’s financial status (status quo assessment);</w:t>
      </w:r>
    </w:p>
    <w:p w14:paraId="7129208B" w14:textId="77777777" w:rsidR="005A6DBB" w:rsidRDefault="00F93099">
      <w:pPr>
        <w:spacing w:before="120" w:after="120"/>
        <w:rPr>
          <w:rFonts w:asciiTheme="minorHAnsi" w:hAnsiTheme="minorHAnsi" w:cstheme="minorHAnsi"/>
          <w:szCs w:val="22"/>
          <w:lang w:val="en-US"/>
        </w:rPr>
      </w:pPr>
      <w:r>
        <w:rPr>
          <w:rFonts w:asciiTheme="minorHAnsi" w:hAnsiTheme="minorHAnsi" w:cstheme="minorHAnsi"/>
          <w:szCs w:val="22"/>
          <w:lang w:val="en-US"/>
        </w:rPr>
        <w:t>In terms of S139(1)(b), the Mayor of the Municipality must be consulted on the FRP to obtain cooperation (political support) for the implementation and ensure that the budget and any other legislative measures to support the implementation of the recovery plan are approved.</w:t>
      </w:r>
    </w:p>
    <w:p w14:paraId="51D27646" w14:textId="77777777" w:rsidR="005A6DBB" w:rsidRDefault="00F93099">
      <w:pPr>
        <w:spacing w:before="120" w:after="120"/>
        <w:rPr>
          <w:rFonts w:asciiTheme="minorHAnsi" w:hAnsiTheme="minorHAnsi" w:cstheme="minorHAnsi"/>
          <w:szCs w:val="22"/>
          <w:lang w:val="en-US"/>
        </w:rPr>
      </w:pPr>
      <w:r>
        <w:rPr>
          <w:rFonts w:asciiTheme="minorHAnsi" w:hAnsiTheme="minorHAnsi" w:cstheme="minorHAnsi"/>
          <w:szCs w:val="22"/>
          <w:lang w:val="en-US"/>
        </w:rPr>
        <w:t>In conclusion, the Municipal Finance Recovery Service unit in National Treasury must develop the financial recovery plan for the MMM.  The plan binds the Municipality in the exercise of both its legislative and executive authority, including the approval of budget and legislative measures giving effect to the budget to the extent necessary to achieve the objectives of the recovery plan and the Municipality is obligated to ensure that such a recovery plan is implemented within the timeframes outlined.</w:t>
      </w:r>
    </w:p>
    <w:p w14:paraId="12103187" w14:textId="77777777" w:rsidR="005A6DBB" w:rsidRDefault="00F93099">
      <w:pPr>
        <w:pStyle w:val="Heading2"/>
      </w:pPr>
      <w:bookmarkStart w:id="12" w:name="_Toc137732199"/>
      <w:r>
        <w:t>OVERVIEW OF THE FINANCIAL RECOVERY PLAN (FRP)</w:t>
      </w:r>
      <w:bookmarkEnd w:id="12"/>
      <w:r>
        <w:t xml:space="preserve"> </w:t>
      </w:r>
    </w:p>
    <w:p w14:paraId="1248B035" w14:textId="77777777" w:rsidR="005A6DBB" w:rsidRDefault="00F93099">
      <w:pPr>
        <w:spacing w:before="120" w:after="120"/>
        <w:rPr>
          <w:lang w:val="en-US"/>
        </w:rPr>
      </w:pPr>
      <w:r>
        <w:rPr>
          <w:lang w:val="en-US"/>
        </w:rPr>
        <w:t xml:space="preserve">S142 of the MFMA outlines the criteria for FRP. </w:t>
      </w:r>
    </w:p>
    <w:p w14:paraId="099CA285" w14:textId="77777777" w:rsidR="005A6DBB" w:rsidRDefault="00F93099">
      <w:pPr>
        <w:spacing w:before="120" w:after="120"/>
        <w:rPr>
          <w:lang w:val="en-US"/>
        </w:rPr>
      </w:pPr>
      <w:r>
        <w:rPr>
          <w:lang w:val="en-US"/>
        </w:rPr>
        <w:t>A FRP must be aimed at securing the Municipality’s ability to meet its obligations to provide basic services or its financial commitments, and such a plan, whether for a mandatory or discretionary intervention must:</w:t>
      </w:r>
    </w:p>
    <w:p w14:paraId="591383CF" w14:textId="77777777" w:rsidR="005A6DBB" w:rsidRDefault="00F93099">
      <w:pPr>
        <w:spacing w:before="120" w:after="120"/>
        <w:rPr>
          <w:lang w:val="en-US"/>
        </w:rPr>
      </w:pPr>
      <w:r>
        <w:rPr>
          <w:lang w:val="en-US"/>
        </w:rPr>
        <w:t>(i) Identify the financial problems of the Municipality;</w:t>
      </w:r>
    </w:p>
    <w:p w14:paraId="5CB47E94" w14:textId="77777777" w:rsidR="005A6DBB" w:rsidRDefault="00F93099">
      <w:pPr>
        <w:spacing w:before="120" w:after="120"/>
        <w:ind w:left="284" w:hanging="284"/>
        <w:rPr>
          <w:lang w:val="en-US"/>
        </w:rPr>
      </w:pPr>
      <w:r>
        <w:rPr>
          <w:lang w:val="en-US"/>
        </w:rPr>
        <w:lastRenderedPageBreak/>
        <w:t>(ii) Be designed to place the Municipality in a sound and sustainable financial condition as soon as possible;</w:t>
      </w:r>
    </w:p>
    <w:p w14:paraId="1368E091" w14:textId="77777777" w:rsidR="005A6DBB" w:rsidRDefault="00F93099">
      <w:pPr>
        <w:spacing w:before="120" w:after="120"/>
        <w:ind w:left="284" w:hanging="284"/>
        <w:rPr>
          <w:lang w:val="en-US"/>
        </w:rPr>
      </w:pPr>
      <w:r>
        <w:rPr>
          <w:lang w:val="en-US"/>
        </w:rPr>
        <w:t>(iii) State the principal strategic objectives of the plan, and ways and means for achieving those objectives;</w:t>
      </w:r>
    </w:p>
    <w:p w14:paraId="397BC443" w14:textId="77777777" w:rsidR="005A6DBB" w:rsidRDefault="00F93099">
      <w:pPr>
        <w:spacing w:before="120" w:after="120"/>
        <w:ind w:left="284" w:hanging="284"/>
        <w:rPr>
          <w:lang w:val="en-US"/>
        </w:rPr>
      </w:pPr>
      <w:r>
        <w:rPr>
          <w:lang w:val="en-US"/>
        </w:rPr>
        <w:t>(iv) Set out a specific strategy for addressing the Municipality’s financial problems, including a strategy for reducing unnecessary expenditure and increasing the collection of revenue, as may be necessary;</w:t>
      </w:r>
    </w:p>
    <w:p w14:paraId="5C2510E9" w14:textId="77777777" w:rsidR="005A6DBB" w:rsidRDefault="00F93099">
      <w:pPr>
        <w:spacing w:before="120" w:after="120"/>
        <w:ind w:left="284" w:hanging="284"/>
        <w:rPr>
          <w:lang w:val="en-US"/>
        </w:rPr>
      </w:pPr>
      <w:r>
        <w:rPr>
          <w:lang w:val="en-US"/>
        </w:rPr>
        <w:t>(v) Identify the human and financial resources needed to assist in resolving financial problems, and where those resources are proposed to come from;</w:t>
      </w:r>
    </w:p>
    <w:p w14:paraId="15069AEE" w14:textId="77777777" w:rsidR="005A6DBB" w:rsidRDefault="00F93099">
      <w:pPr>
        <w:spacing w:before="120" w:after="120"/>
        <w:ind w:left="284" w:hanging="284"/>
        <w:rPr>
          <w:lang w:val="en-US"/>
        </w:rPr>
      </w:pPr>
      <w:r>
        <w:rPr>
          <w:lang w:val="en-US"/>
        </w:rPr>
        <w:t>(vi) Describe the anticipated timeframe for financial recovery, and milestones to be achieved; and</w:t>
      </w:r>
    </w:p>
    <w:p w14:paraId="39725F99" w14:textId="77777777" w:rsidR="005A6DBB" w:rsidRDefault="00F93099">
      <w:pPr>
        <w:spacing w:before="120" w:after="120"/>
        <w:ind w:left="284" w:hanging="284"/>
        <w:rPr>
          <w:lang w:val="en-US"/>
        </w:rPr>
      </w:pPr>
      <w:r>
        <w:rPr>
          <w:lang w:val="en-US"/>
        </w:rPr>
        <w:t>(vii) Identify what actions are necessary for the implementation of the plan, distinguishing between actions to be taken by the municipality and actions to be taken by other parties.</w:t>
      </w:r>
    </w:p>
    <w:p w14:paraId="73CA40D4" w14:textId="77777777" w:rsidR="005A6DBB" w:rsidRDefault="00F93099">
      <w:pPr>
        <w:spacing w:before="120" w:after="120"/>
        <w:rPr>
          <w:lang w:val="en-US"/>
        </w:rPr>
      </w:pPr>
      <w:r>
        <w:rPr>
          <w:lang w:val="en-US"/>
        </w:rPr>
        <w:t>The FRP may:</w:t>
      </w:r>
    </w:p>
    <w:p w14:paraId="3125F376" w14:textId="77777777" w:rsidR="005A6DBB" w:rsidRDefault="00F93099">
      <w:pPr>
        <w:spacing w:before="120" w:after="120"/>
        <w:ind w:left="284" w:hanging="284"/>
        <w:rPr>
          <w:lang w:val="en-US"/>
        </w:rPr>
      </w:pPr>
      <w:r>
        <w:rPr>
          <w:lang w:val="en-US"/>
        </w:rPr>
        <w:t>(i) Provide for the liquidation of specific assets, excluding those needed for the provision of the minimum level of basic Municipal services;</w:t>
      </w:r>
    </w:p>
    <w:p w14:paraId="17F9C5D2" w14:textId="77777777" w:rsidR="005A6DBB" w:rsidRDefault="00F93099">
      <w:pPr>
        <w:spacing w:before="120" w:after="120"/>
        <w:ind w:left="284" w:hanging="284"/>
        <w:rPr>
          <w:lang w:val="en-US"/>
        </w:rPr>
      </w:pPr>
      <w:r>
        <w:rPr>
          <w:lang w:val="en-US"/>
        </w:rPr>
        <w:t>(ii) Provide for debt restructuring or debt relief in accordance with relevant legislation;</w:t>
      </w:r>
    </w:p>
    <w:p w14:paraId="6426B57F" w14:textId="77777777" w:rsidR="005A6DBB" w:rsidRDefault="00F93099">
      <w:pPr>
        <w:spacing w:before="120" w:after="120"/>
        <w:ind w:left="284" w:hanging="284"/>
        <w:rPr>
          <w:lang w:val="en-US"/>
        </w:rPr>
      </w:pPr>
      <w:r>
        <w:rPr>
          <w:lang w:val="en-US"/>
        </w:rPr>
        <w:t>(iii) Provide for special measures to prevent unauthorised, irregular and fruitless and wasteful expenditures and other losses; and</w:t>
      </w:r>
    </w:p>
    <w:p w14:paraId="3C0DA96C" w14:textId="77777777" w:rsidR="005A6DBB" w:rsidRDefault="00F93099">
      <w:pPr>
        <w:spacing w:before="120" w:after="120"/>
        <w:ind w:left="284" w:hanging="284"/>
        <w:rPr>
          <w:lang w:val="en-US"/>
        </w:rPr>
      </w:pPr>
      <w:r>
        <w:rPr>
          <w:lang w:val="en-US"/>
        </w:rPr>
        <w:t>(iv) Identify any actual and potential revenue sources.</w:t>
      </w:r>
    </w:p>
    <w:p w14:paraId="7329575E" w14:textId="77777777" w:rsidR="005A6DBB" w:rsidRDefault="00F93099">
      <w:pPr>
        <w:spacing w:before="120" w:after="120"/>
        <w:ind w:left="284" w:hanging="284"/>
        <w:rPr>
          <w:lang w:val="en-US"/>
        </w:rPr>
      </w:pPr>
      <w:r>
        <w:rPr>
          <w:lang w:val="en-US"/>
        </w:rPr>
        <w:t>In addition to the above, the FRP for a mandatory intervention must:</w:t>
      </w:r>
    </w:p>
    <w:p w14:paraId="1409A7C3" w14:textId="77777777" w:rsidR="005A6DBB" w:rsidRDefault="00F93099">
      <w:pPr>
        <w:spacing w:before="120" w:after="120"/>
        <w:ind w:left="284" w:hanging="284"/>
        <w:rPr>
          <w:lang w:val="en-US"/>
        </w:rPr>
      </w:pPr>
      <w:r>
        <w:rPr>
          <w:lang w:val="en-US"/>
        </w:rPr>
        <w:t>(i) Set spending limits and revenue targets;</w:t>
      </w:r>
    </w:p>
    <w:p w14:paraId="5175ABFF" w14:textId="77777777" w:rsidR="005A6DBB" w:rsidRDefault="00F93099">
      <w:pPr>
        <w:spacing w:before="120" w:after="120"/>
        <w:ind w:left="284" w:hanging="284"/>
        <w:rPr>
          <w:lang w:val="en-US"/>
        </w:rPr>
      </w:pPr>
      <w:r>
        <w:rPr>
          <w:lang w:val="en-US"/>
        </w:rPr>
        <w:t>(ii) Provide budget parameters which bind the Municipality for a specified period or until stated conditions have been met; and</w:t>
      </w:r>
    </w:p>
    <w:p w14:paraId="2A542C68" w14:textId="77777777" w:rsidR="005A6DBB" w:rsidRDefault="00F93099">
      <w:pPr>
        <w:spacing w:before="120" w:after="120"/>
        <w:ind w:left="284" w:hanging="284"/>
        <w:rPr>
          <w:lang w:val="en-US"/>
        </w:rPr>
      </w:pPr>
      <w:r>
        <w:rPr>
          <w:lang w:val="en-US"/>
        </w:rPr>
        <w:t>(iii) Identify specific revenue-raising measures that are necessary for financial recovery, including the rate at which any municipal tax and tariffs must be set to achieve financial recovery.</w:t>
      </w:r>
    </w:p>
    <w:p w14:paraId="7A38524B" w14:textId="77777777" w:rsidR="005A6DBB" w:rsidRDefault="00F93099">
      <w:pPr>
        <w:spacing w:before="120" w:after="120"/>
        <w:rPr>
          <w:lang w:val="en-US"/>
        </w:rPr>
      </w:pPr>
      <w:r>
        <w:rPr>
          <w:lang w:val="en-US"/>
        </w:rPr>
        <w:t>The FRP prepared and included hereafter addresses the above requirements.</w:t>
      </w:r>
    </w:p>
    <w:p w14:paraId="5DB9F025" w14:textId="77777777" w:rsidR="005A6DBB" w:rsidRDefault="005A6DBB">
      <w:pPr>
        <w:spacing w:before="120" w:after="120"/>
        <w:rPr>
          <w:lang w:val="en-US"/>
        </w:rPr>
      </w:pPr>
    </w:p>
    <w:p w14:paraId="413EA0AB" w14:textId="77777777" w:rsidR="005A6DBB" w:rsidRDefault="00F93099">
      <w:pPr>
        <w:pStyle w:val="Heading2"/>
      </w:pPr>
      <w:bookmarkStart w:id="13" w:name="_Toc137732200"/>
      <w:r>
        <w:lastRenderedPageBreak/>
        <w:t>STATUS QUO ASSESSMENT METHODOLOGY</w:t>
      </w:r>
      <w:bookmarkEnd w:id="13"/>
    </w:p>
    <w:p w14:paraId="1AA6A92C" w14:textId="77777777" w:rsidR="005A6DBB" w:rsidRDefault="00F93099">
      <w:pPr>
        <w:rPr>
          <w:b/>
          <w:bCs/>
          <w:lang w:val="en-ZA"/>
        </w:rPr>
      </w:pPr>
      <w:r>
        <w:rPr>
          <w:b/>
          <w:bCs/>
          <w:lang w:val="en-ZA"/>
        </w:rPr>
        <w:t>Methodology used and extent of the work done:</w:t>
      </w:r>
    </w:p>
    <w:p w14:paraId="06B4C9CA" w14:textId="77777777" w:rsidR="005A6DBB" w:rsidRDefault="00F93099">
      <w:pPr>
        <w:rPr>
          <w:lang w:val="en-ZA"/>
        </w:rPr>
      </w:pPr>
      <w:r>
        <w:rPr>
          <w:lang w:val="en-ZA"/>
        </w:rPr>
        <w:t>The methodology used comprise the detailed technical assessment of the state of the Municipality in terms of the four Municipal sustainability pillars per the agreed framework as detailed below:</w:t>
      </w:r>
    </w:p>
    <w:p w14:paraId="60AE04D3" w14:textId="77777777" w:rsidR="005A6DBB" w:rsidRDefault="00F93099">
      <w:pPr>
        <w:keepNext/>
      </w:pPr>
      <w:r>
        <w:rPr>
          <w:b/>
          <w:bCs/>
          <w:noProof/>
          <w:sz w:val="20"/>
          <w:szCs w:val="20"/>
          <w:lang w:val="en-ZA" w:eastAsia="en-ZA"/>
        </w:rPr>
        <w:drawing>
          <wp:inline distT="0" distB="0" distL="0" distR="0" wp14:anchorId="5B6DA4C7" wp14:editId="1857593C">
            <wp:extent cx="5860415" cy="407606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3834" cy="4092281"/>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204"/>
      </w:tblGrid>
      <w:tr w:rsidR="005A6DBB" w14:paraId="7594C270" w14:textId="77777777">
        <w:tc>
          <w:tcPr>
            <w:tcW w:w="9204" w:type="dxa"/>
            <w:shd w:val="clear" w:color="auto" w:fill="8DB3E2" w:themeFill="text2" w:themeFillTint="66"/>
          </w:tcPr>
          <w:p w14:paraId="0EFC0692" w14:textId="77777777" w:rsidR="005A6DBB" w:rsidRDefault="00F93099">
            <w:pPr>
              <w:jc w:val="center"/>
              <w:rPr>
                <w:b/>
                <w:bCs/>
                <w:sz w:val="20"/>
                <w:lang w:val="en-ZA" w:eastAsia="en-ZA"/>
              </w:rPr>
            </w:pPr>
            <w:r>
              <w:rPr>
                <w:b/>
                <w:bCs/>
                <w:color w:val="FFFFFF" w:themeColor="background1"/>
                <w:sz w:val="20"/>
                <w:lang w:val="en-ZA" w:eastAsia="en-ZA"/>
              </w:rPr>
              <w:t>INFORMATION AND COMMUNICATION TECHNOLOGY</w:t>
            </w:r>
          </w:p>
        </w:tc>
      </w:tr>
      <w:tr w:rsidR="005A6DBB" w14:paraId="4F855E5A" w14:textId="77777777">
        <w:tc>
          <w:tcPr>
            <w:tcW w:w="9204" w:type="dxa"/>
            <w:shd w:val="clear" w:color="auto" w:fill="DBE5F1" w:themeFill="accent1" w:themeFillTint="33"/>
            <w:vAlign w:val="center"/>
          </w:tcPr>
          <w:p w14:paraId="66F433C1" w14:textId="77777777" w:rsidR="005A6DBB" w:rsidRDefault="00F93099">
            <w:pPr>
              <w:pStyle w:val="ListParagraph"/>
              <w:numPr>
                <w:ilvl w:val="0"/>
                <w:numId w:val="9"/>
              </w:numPr>
              <w:spacing w:line="360" w:lineRule="auto"/>
              <w:ind w:left="357" w:hanging="357"/>
              <w:contextualSpacing w:val="0"/>
              <w:rPr>
                <w:rFonts w:asciiTheme="minorHAnsi" w:hAnsiTheme="minorHAnsi" w:cstheme="minorHAnsi"/>
                <w:sz w:val="16"/>
                <w:szCs w:val="16"/>
                <w:lang w:val="en-ZA" w:eastAsia="en-ZA"/>
              </w:rPr>
            </w:pPr>
            <w:r>
              <w:rPr>
                <w:rFonts w:asciiTheme="minorHAnsi" w:hAnsiTheme="minorHAnsi" w:cstheme="minorHAnsi"/>
                <w:sz w:val="16"/>
                <w:szCs w:val="16"/>
                <w:lang w:val="en-ZA" w:eastAsia="en-ZA"/>
              </w:rPr>
              <w:t>Operational Efficiency and Cost-Effectiveness</w:t>
            </w:r>
          </w:p>
          <w:p w14:paraId="417250B3" w14:textId="77777777" w:rsidR="005A6DBB" w:rsidRDefault="00F93099">
            <w:pPr>
              <w:pStyle w:val="ListParagraph"/>
              <w:numPr>
                <w:ilvl w:val="0"/>
                <w:numId w:val="9"/>
              </w:numPr>
              <w:spacing w:line="360" w:lineRule="auto"/>
              <w:ind w:left="357" w:hanging="357"/>
              <w:contextualSpacing w:val="0"/>
              <w:rPr>
                <w:rFonts w:asciiTheme="minorHAnsi" w:hAnsiTheme="minorHAnsi" w:cstheme="minorHAnsi"/>
                <w:sz w:val="16"/>
                <w:szCs w:val="16"/>
                <w:lang w:val="en-ZA" w:eastAsia="en-ZA"/>
              </w:rPr>
            </w:pPr>
            <w:r>
              <w:rPr>
                <w:rFonts w:asciiTheme="minorHAnsi" w:hAnsiTheme="minorHAnsi" w:cstheme="minorHAnsi"/>
                <w:sz w:val="16"/>
                <w:szCs w:val="16"/>
                <w:lang w:val="en-ZA" w:eastAsia="en-ZA"/>
              </w:rPr>
              <w:t>Data-Driven Decision Making</w:t>
            </w:r>
          </w:p>
          <w:p w14:paraId="598EB7D8" w14:textId="77777777" w:rsidR="005A6DBB" w:rsidRDefault="00F93099">
            <w:pPr>
              <w:pStyle w:val="ListParagraph"/>
              <w:numPr>
                <w:ilvl w:val="0"/>
                <w:numId w:val="9"/>
              </w:numPr>
              <w:spacing w:line="360" w:lineRule="auto"/>
              <w:ind w:left="357" w:hanging="357"/>
              <w:contextualSpacing w:val="0"/>
              <w:rPr>
                <w:rFonts w:asciiTheme="minorHAnsi" w:hAnsiTheme="minorHAnsi" w:cstheme="minorHAnsi"/>
                <w:sz w:val="16"/>
                <w:szCs w:val="16"/>
                <w:lang w:val="en-ZA" w:eastAsia="en-ZA"/>
              </w:rPr>
            </w:pPr>
            <w:r>
              <w:rPr>
                <w:rFonts w:asciiTheme="minorHAnsi" w:hAnsiTheme="minorHAnsi" w:cstheme="minorHAnsi"/>
                <w:sz w:val="16"/>
                <w:szCs w:val="16"/>
                <w:lang w:val="en-ZA" w:eastAsia="en-ZA"/>
              </w:rPr>
              <w:t>Enhanced Service Delivery</w:t>
            </w:r>
          </w:p>
          <w:p w14:paraId="532FCAFC" w14:textId="77777777" w:rsidR="005A6DBB" w:rsidRDefault="00F93099">
            <w:pPr>
              <w:pStyle w:val="ListParagraph"/>
              <w:numPr>
                <w:ilvl w:val="0"/>
                <w:numId w:val="9"/>
              </w:numPr>
              <w:spacing w:line="360" w:lineRule="auto"/>
              <w:ind w:left="357" w:hanging="357"/>
              <w:contextualSpacing w:val="0"/>
              <w:rPr>
                <w:rFonts w:asciiTheme="minorHAnsi" w:hAnsiTheme="minorHAnsi" w:cstheme="minorHAnsi"/>
                <w:sz w:val="16"/>
                <w:szCs w:val="16"/>
                <w:lang w:val="en-ZA" w:eastAsia="en-ZA"/>
              </w:rPr>
            </w:pPr>
            <w:r>
              <w:rPr>
                <w:rFonts w:asciiTheme="minorHAnsi" w:hAnsiTheme="minorHAnsi" w:cstheme="minorHAnsi"/>
                <w:sz w:val="16"/>
                <w:szCs w:val="16"/>
                <w:lang w:val="en-ZA" w:eastAsia="en-ZA"/>
              </w:rPr>
              <w:t>Transparency and Accountability</w:t>
            </w:r>
          </w:p>
          <w:p w14:paraId="6B8B0680" w14:textId="77777777" w:rsidR="005A6DBB" w:rsidRDefault="00F93099">
            <w:pPr>
              <w:pStyle w:val="ListParagraph"/>
              <w:numPr>
                <w:ilvl w:val="0"/>
                <w:numId w:val="9"/>
              </w:numPr>
              <w:spacing w:line="360" w:lineRule="auto"/>
              <w:ind w:left="357" w:hanging="357"/>
              <w:contextualSpacing w:val="0"/>
              <w:rPr>
                <w:rFonts w:asciiTheme="minorHAnsi" w:hAnsiTheme="minorHAnsi" w:cstheme="minorHAnsi"/>
                <w:sz w:val="16"/>
                <w:szCs w:val="16"/>
                <w:lang w:val="en-ZA" w:eastAsia="en-ZA"/>
              </w:rPr>
            </w:pPr>
            <w:r>
              <w:rPr>
                <w:rFonts w:asciiTheme="minorHAnsi" w:hAnsiTheme="minorHAnsi" w:cstheme="minorHAnsi"/>
                <w:sz w:val="16"/>
                <w:szCs w:val="16"/>
                <w:lang w:val="en-ZA" w:eastAsia="en-ZA"/>
              </w:rPr>
              <w:t>Resilience and Sustainability</w:t>
            </w:r>
          </w:p>
        </w:tc>
      </w:tr>
    </w:tbl>
    <w:p w14:paraId="4A81744B" w14:textId="0FDAF21C" w:rsidR="005A6DBB" w:rsidRDefault="00F93099">
      <w:pPr>
        <w:pStyle w:val="Caption"/>
        <w:rPr>
          <w:highlight w:val="green"/>
          <w:lang w:val="en-ZA"/>
        </w:rPr>
      </w:pPr>
      <w:r>
        <w:t xml:space="preserve">Figure </w:t>
      </w:r>
      <w:r>
        <w:fldChar w:fldCharType="begin"/>
      </w:r>
      <w:r>
        <w:instrText xml:space="preserve"> SEQ Figure \* ARABIC </w:instrText>
      </w:r>
      <w:r>
        <w:fldChar w:fldCharType="separate"/>
      </w:r>
      <w:r w:rsidR="00A564BE">
        <w:rPr>
          <w:noProof/>
        </w:rPr>
        <w:t>4</w:t>
      </w:r>
      <w:r>
        <w:fldChar w:fldCharType="end"/>
      </w:r>
      <w:r>
        <w:t xml:space="preserve"> - Assessment framework</w:t>
      </w:r>
    </w:p>
    <w:p w14:paraId="635733AA" w14:textId="77777777" w:rsidR="005A6DBB" w:rsidRPr="00C13E96" w:rsidRDefault="00F93099">
      <w:pPr>
        <w:rPr>
          <w:lang w:val="en-ZA"/>
        </w:rPr>
      </w:pPr>
      <w:r w:rsidRPr="00C13E96">
        <w:rPr>
          <w:lang w:val="en-ZA"/>
        </w:rPr>
        <w:t>ICT serves is a fundamental pillar of viability in Municipalities.  By enhancing efficiency, enabling data-driven decisions, improving service delivery, promoting transparency, and supporting sustainable practices, ICT significantly contributes to the financial, strategic, social, political, and environmental viability of a Municipality.  It is therefore recommended that the ICT framework be incorporated into the Municipal Assessment Framework.</w:t>
      </w:r>
    </w:p>
    <w:p w14:paraId="2365F978" w14:textId="77777777" w:rsidR="005A6DBB" w:rsidRPr="00C13E96" w:rsidRDefault="00F93099">
      <w:pPr>
        <w:rPr>
          <w:lang w:val="en-ZA"/>
        </w:rPr>
      </w:pPr>
      <w:r w:rsidRPr="00C13E96">
        <w:rPr>
          <w:b/>
          <w:bCs/>
          <w:lang w:val="en-ZA"/>
        </w:rPr>
        <w:lastRenderedPageBreak/>
        <w:t>Operational Efficiency and Cost-Effectiveness:</w:t>
      </w:r>
      <w:r w:rsidRPr="00C13E96">
        <w:rPr>
          <w:lang w:val="en-ZA"/>
        </w:rPr>
        <w:t xml:space="preserve"> ICT, including systems like Enterprise Resource Planning (ERP), offers opportunities for improved efficiency and cost-effectiveness.  By streamlining processes and reducing manual effort, these systems save both time and money.  This efficiency not only leads to cost savings but also allows for the effective allocation of resources, which is key to the financial viability of a Municipality.</w:t>
      </w:r>
    </w:p>
    <w:p w14:paraId="1A203BF9" w14:textId="77777777" w:rsidR="005A6DBB" w:rsidRPr="00C13E96" w:rsidRDefault="00F93099">
      <w:pPr>
        <w:spacing w:before="120" w:after="120"/>
        <w:rPr>
          <w:lang w:val="en-ZA"/>
        </w:rPr>
      </w:pPr>
      <w:r w:rsidRPr="00C13E96">
        <w:rPr>
          <w:b/>
          <w:bCs/>
          <w:lang w:val="en-ZA"/>
        </w:rPr>
        <w:t>Data-Driven Decision Making:</w:t>
      </w:r>
      <w:r w:rsidRPr="00C13E96">
        <w:rPr>
          <w:lang w:val="en-ZA"/>
        </w:rPr>
        <w:t xml:space="preserve"> ICT systems centralise and manage vast amounts of data, allowing for accurate, real-time insights into municipal operations.  This facilitates evidence-based decision-making and strategic planning, enabling the municipality to respond effectively to emerging trends and challenges. In this way, ICT contributes to the strategic viability of a Municipality.</w:t>
      </w:r>
    </w:p>
    <w:p w14:paraId="61A98EF4" w14:textId="77777777" w:rsidR="005A6DBB" w:rsidRPr="00C13E96" w:rsidRDefault="00F93099">
      <w:pPr>
        <w:spacing w:before="120" w:after="120"/>
        <w:rPr>
          <w:lang w:val="en-ZA"/>
        </w:rPr>
      </w:pPr>
      <w:r w:rsidRPr="00C13E96">
        <w:rPr>
          <w:b/>
          <w:bCs/>
          <w:lang w:val="en-ZA"/>
        </w:rPr>
        <w:t>Enhanced Service Delivery:</w:t>
      </w:r>
      <w:r w:rsidRPr="00C13E96">
        <w:rPr>
          <w:lang w:val="en-ZA"/>
        </w:rPr>
        <w:t xml:space="preserve"> ICT is instrumental in improving the quality and accessibility of services provided to citizens.  From online bill payments (e-services) and service requests to digital libraries, ICT broadens the reach of municipal services and improves citizen satisfaction, contributing to social viability.</w:t>
      </w:r>
    </w:p>
    <w:p w14:paraId="40DE1C21" w14:textId="77777777" w:rsidR="005A6DBB" w:rsidRPr="00C13E96" w:rsidRDefault="00F93099">
      <w:pPr>
        <w:spacing w:before="120" w:after="120"/>
        <w:rPr>
          <w:lang w:val="en-ZA"/>
        </w:rPr>
      </w:pPr>
      <w:r w:rsidRPr="00C13E96">
        <w:rPr>
          <w:b/>
          <w:bCs/>
          <w:lang w:val="en-ZA"/>
        </w:rPr>
        <w:t>Transparency and Accountability:</w:t>
      </w:r>
      <w:r w:rsidRPr="00C13E96">
        <w:rPr>
          <w:lang w:val="en-ZA"/>
        </w:rPr>
        <w:t xml:space="preserve"> The use of digital systems enhances transparency and accountability in municipal operations.  By making information accessible to the public, these systems encourage civic participation and foster trust, crucial for the political viability of a Municipality.</w:t>
      </w:r>
    </w:p>
    <w:p w14:paraId="23E9F0A3" w14:textId="77777777" w:rsidR="005A6DBB" w:rsidRDefault="00F93099">
      <w:pPr>
        <w:spacing w:before="120" w:after="120"/>
        <w:rPr>
          <w:lang w:val="en-ZA"/>
        </w:rPr>
      </w:pPr>
      <w:r w:rsidRPr="00C13E96">
        <w:rPr>
          <w:b/>
          <w:bCs/>
          <w:lang w:val="en-ZA"/>
        </w:rPr>
        <w:t>Resilience and Sustainability:</w:t>
      </w:r>
      <w:r w:rsidRPr="00C13E96">
        <w:rPr>
          <w:lang w:val="en-ZA"/>
        </w:rPr>
        <w:t xml:space="preserve"> ICT supports the environmental viability of a Municipality by facilitating smart and sustainable practices.  For example, smart grid technology can optimise energy consumption, and Geographic Information Systems (GIS) can aid in sustainable urban planning.  Additionally, digital systems can enhance a Municipality's resilience by improving its ability to respond effectively to various challenges, from everyday operations to emergency situations.</w:t>
      </w:r>
    </w:p>
    <w:p w14:paraId="60C15E1A" w14:textId="77777777" w:rsidR="005A6DBB" w:rsidRDefault="005A6DBB">
      <w:pPr>
        <w:rPr>
          <w:lang w:val="en-ZA"/>
        </w:rPr>
      </w:pPr>
    </w:p>
    <w:p w14:paraId="7543F0D2" w14:textId="77777777" w:rsidR="005A6DBB" w:rsidRDefault="005A6DBB">
      <w:pPr>
        <w:rPr>
          <w:lang w:val="en-ZA"/>
        </w:rPr>
      </w:pPr>
    </w:p>
    <w:p w14:paraId="4A7A9F46" w14:textId="77777777" w:rsidR="005A6DBB" w:rsidRDefault="005A6DBB">
      <w:pPr>
        <w:rPr>
          <w:lang w:val="en-ZA"/>
        </w:rPr>
      </w:pPr>
    </w:p>
    <w:p w14:paraId="5D3D2B5A" w14:textId="77777777" w:rsidR="005A6DBB" w:rsidRDefault="005A6DBB">
      <w:pPr>
        <w:rPr>
          <w:lang w:val="en-ZA"/>
        </w:rPr>
      </w:pPr>
    </w:p>
    <w:p w14:paraId="0EB4FD41" w14:textId="77777777" w:rsidR="005A6DBB" w:rsidRDefault="005A6DBB">
      <w:pPr>
        <w:rPr>
          <w:lang w:val="en-ZA"/>
        </w:rPr>
      </w:pPr>
    </w:p>
    <w:p w14:paraId="50646D1F" w14:textId="77777777" w:rsidR="005A6DBB" w:rsidRDefault="005A6DBB">
      <w:pPr>
        <w:rPr>
          <w:lang w:val="en-ZA"/>
        </w:rPr>
      </w:pPr>
    </w:p>
    <w:p w14:paraId="37BB152E" w14:textId="77777777" w:rsidR="005A6DBB" w:rsidRDefault="005A6DBB">
      <w:pPr>
        <w:rPr>
          <w:lang w:val="en-ZA"/>
        </w:rPr>
      </w:pPr>
    </w:p>
    <w:p w14:paraId="1F28542A" w14:textId="77777777" w:rsidR="005A6DBB" w:rsidRDefault="005A6DBB">
      <w:pPr>
        <w:rPr>
          <w:lang w:val="en-ZA"/>
        </w:rPr>
      </w:pPr>
    </w:p>
    <w:p w14:paraId="6931898D" w14:textId="77777777" w:rsidR="005A6DBB" w:rsidRDefault="005A6DBB">
      <w:pPr>
        <w:rPr>
          <w:lang w:val="en-ZA"/>
        </w:rPr>
      </w:pPr>
    </w:p>
    <w:p w14:paraId="2C76CC34" w14:textId="77777777" w:rsidR="005A6DBB" w:rsidRDefault="00F93099">
      <w:pPr>
        <w:keepNext/>
        <w:spacing w:before="120" w:after="120"/>
      </w:pPr>
      <w:r>
        <w:rPr>
          <w:noProof/>
          <w:bdr w:val="single" w:sz="6" w:space="0" w:color="auto"/>
        </w:rPr>
        <w:drawing>
          <wp:inline distT="0" distB="0" distL="0" distR="0" wp14:anchorId="6A071EB2" wp14:editId="2E3192F1">
            <wp:extent cx="5515610" cy="3914140"/>
            <wp:effectExtent l="0" t="0" r="8890" b="0"/>
            <wp:docPr id="212934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43286" name="Picture 1"/>
                    <pic:cNvPicPr>
                      <a:picLocks noChangeAspect="1"/>
                    </pic:cNvPicPr>
                  </pic:nvPicPr>
                  <pic:blipFill>
                    <a:blip r:embed="rId24"/>
                    <a:stretch>
                      <a:fillRect/>
                    </a:stretch>
                  </pic:blipFill>
                  <pic:spPr>
                    <a:xfrm>
                      <a:off x="0" y="0"/>
                      <a:ext cx="5515610" cy="3914140"/>
                    </a:xfrm>
                    <a:prstGeom prst="rect">
                      <a:avLst/>
                    </a:prstGeom>
                  </pic:spPr>
                </pic:pic>
              </a:graphicData>
            </a:graphic>
          </wp:inline>
        </w:drawing>
      </w:r>
    </w:p>
    <w:p w14:paraId="6484A288" w14:textId="61AB784B" w:rsidR="005A6DBB" w:rsidRDefault="00F93099">
      <w:pPr>
        <w:pStyle w:val="Caption"/>
        <w:rPr>
          <w:b/>
          <w:bCs/>
          <w:lang w:val="en-US"/>
        </w:rPr>
      </w:pPr>
      <w:r>
        <w:t xml:space="preserve">Figure </w:t>
      </w:r>
      <w:r>
        <w:fldChar w:fldCharType="begin"/>
      </w:r>
      <w:r>
        <w:instrText xml:space="preserve"> SEQ Figure \* ARABIC </w:instrText>
      </w:r>
      <w:r>
        <w:fldChar w:fldCharType="separate"/>
      </w:r>
      <w:r w:rsidR="00A564BE">
        <w:rPr>
          <w:noProof/>
        </w:rPr>
        <w:t>5</w:t>
      </w:r>
      <w:r>
        <w:fldChar w:fldCharType="end"/>
      </w:r>
      <w:r>
        <w:t xml:space="preserve"> - FRP Preparation Process</w:t>
      </w:r>
    </w:p>
    <w:p w14:paraId="4F5C2BB9" w14:textId="77777777" w:rsidR="005A6DBB" w:rsidRDefault="00F93099">
      <w:pPr>
        <w:spacing w:before="120" w:after="120"/>
        <w:rPr>
          <w:b/>
          <w:bCs/>
          <w:lang w:val="en-US"/>
        </w:rPr>
      </w:pPr>
      <w:r>
        <w:rPr>
          <w:b/>
          <w:bCs/>
          <w:lang w:val="en-US"/>
        </w:rPr>
        <w:t>Preparation</w:t>
      </w:r>
    </w:p>
    <w:p w14:paraId="1E063CC3" w14:textId="77777777" w:rsidR="005A6DBB" w:rsidRDefault="00F93099">
      <w:pPr>
        <w:spacing w:before="120" w:after="120"/>
        <w:rPr>
          <w:lang w:val="en-US"/>
        </w:rPr>
      </w:pPr>
      <w:r>
        <w:rPr>
          <w:lang w:val="en-US"/>
        </w:rPr>
        <w:t xml:space="preserve">The approach adopted in the development of the Status Quo assessment is a holistic and consultative approach that also involves a detailed analysis of all relevant documentation coupled with engagements between the Executive Mayor, City Manager, Management and other staff of the Municipality as well as engagements with the National and relevant Provincial Government Departments, Key Stakeholders, Major Creditors and the Local Labor Forum.  </w:t>
      </w:r>
    </w:p>
    <w:p w14:paraId="7055D589" w14:textId="77777777" w:rsidR="005A6DBB" w:rsidRDefault="00F93099">
      <w:pPr>
        <w:spacing w:before="120" w:after="120"/>
        <w:rPr>
          <w:lang w:val="en-US"/>
        </w:rPr>
      </w:pPr>
      <w:r>
        <w:rPr>
          <w:lang w:val="en-US"/>
        </w:rPr>
        <w:t xml:space="preserve">Assessments were also conducted on the status quo assessment and mandatory FRP prepared during 2020. </w:t>
      </w:r>
    </w:p>
    <w:p w14:paraId="27EDDAAA" w14:textId="77777777" w:rsidR="005A6DBB" w:rsidRDefault="00F93099">
      <w:pPr>
        <w:spacing w:before="120" w:after="120"/>
        <w:rPr>
          <w:lang w:val="en-US"/>
        </w:rPr>
      </w:pPr>
      <w:r>
        <w:rPr>
          <w:lang w:val="en-US"/>
        </w:rPr>
        <w:t>Additionally, this Status Quo Assessment is aligned to the four (4) pillars used by the National Treasury to assess Municipal sustainability, namely Governance, Institutional Stability, Financial Management and Service Delivery.</w:t>
      </w:r>
    </w:p>
    <w:p w14:paraId="6AEA62D4" w14:textId="77777777" w:rsidR="005A6DBB" w:rsidRDefault="00F93099">
      <w:pPr>
        <w:spacing w:before="120" w:after="120"/>
        <w:rPr>
          <w:b/>
          <w:bCs/>
          <w:lang w:val="en-US"/>
        </w:rPr>
      </w:pPr>
      <w:r>
        <w:rPr>
          <w:b/>
          <w:bCs/>
          <w:lang w:val="en-US"/>
        </w:rPr>
        <w:t>Consultation approach</w:t>
      </w:r>
    </w:p>
    <w:p w14:paraId="3CDE4C43" w14:textId="77777777" w:rsidR="005A6DBB" w:rsidRDefault="00F93099">
      <w:pPr>
        <w:spacing w:before="120" w:after="120"/>
        <w:rPr>
          <w:lang w:val="en-US"/>
        </w:rPr>
      </w:pPr>
      <w:r>
        <w:rPr>
          <w:lang w:val="en-US"/>
        </w:rPr>
        <w:t xml:space="preserve">Various consultations were conducted in order to obtain and confirm the status quo findings at MMM. </w:t>
      </w:r>
    </w:p>
    <w:p w14:paraId="372079E3" w14:textId="77777777" w:rsidR="005A6DBB" w:rsidRDefault="00F93099">
      <w:pPr>
        <w:spacing w:before="120" w:after="120"/>
        <w:rPr>
          <w:lang w:val="en-US"/>
        </w:rPr>
      </w:pPr>
      <w:r>
        <w:rPr>
          <w:lang w:val="en-US"/>
        </w:rPr>
        <w:t>Key consultation engagements included:</w:t>
      </w:r>
    </w:p>
    <w:p w14:paraId="73F0C13E" w14:textId="77777777" w:rsidR="005A6DBB" w:rsidRDefault="00F93099">
      <w:pPr>
        <w:pStyle w:val="ListParagraph"/>
        <w:numPr>
          <w:ilvl w:val="0"/>
          <w:numId w:val="10"/>
        </w:numPr>
        <w:spacing w:before="120" w:after="120" w:line="360" w:lineRule="auto"/>
        <w:ind w:left="357" w:hanging="357"/>
        <w:contextualSpacing w:val="0"/>
        <w:rPr>
          <w:rFonts w:asciiTheme="minorHAnsi" w:hAnsiTheme="minorHAnsi" w:cstheme="minorHAnsi"/>
          <w:sz w:val="22"/>
          <w:szCs w:val="22"/>
          <w:lang w:val="en-US"/>
        </w:rPr>
      </w:pPr>
      <w:r>
        <w:rPr>
          <w:rFonts w:asciiTheme="minorHAnsi" w:hAnsiTheme="minorHAnsi" w:cstheme="minorHAnsi"/>
          <w:sz w:val="22"/>
          <w:szCs w:val="22"/>
          <w:lang w:val="en-US"/>
        </w:rPr>
        <w:t xml:space="preserve">A 1-day workshop between National Treasury and the National Cabinet representatives (NCR) appointed to support MMM on the implementation of the FRP held at National Treasury on 15 January 2023 and comments made; </w:t>
      </w:r>
    </w:p>
    <w:p w14:paraId="7632682C" w14:textId="77777777" w:rsidR="005A6DBB" w:rsidRDefault="00F93099">
      <w:pPr>
        <w:pStyle w:val="ListParagraph"/>
        <w:numPr>
          <w:ilvl w:val="0"/>
          <w:numId w:val="10"/>
        </w:numPr>
        <w:spacing w:before="120" w:after="120" w:line="360" w:lineRule="auto"/>
        <w:ind w:left="357" w:hanging="357"/>
        <w:contextualSpacing w:val="0"/>
        <w:rPr>
          <w:rFonts w:asciiTheme="minorHAnsi" w:hAnsiTheme="minorHAnsi" w:cstheme="minorHAnsi"/>
          <w:sz w:val="22"/>
          <w:szCs w:val="22"/>
          <w:lang w:val="en-US"/>
        </w:rPr>
      </w:pPr>
      <w:r>
        <w:rPr>
          <w:rFonts w:asciiTheme="minorHAnsi" w:hAnsiTheme="minorHAnsi" w:cstheme="minorHAnsi"/>
          <w:sz w:val="22"/>
          <w:szCs w:val="22"/>
          <w:lang w:val="en-US"/>
        </w:rPr>
        <w:t>Information gathering from various sources, and conducting a desktop analysis and diagnostic assessment per focus area;</w:t>
      </w:r>
    </w:p>
    <w:p w14:paraId="06D35B8C" w14:textId="77777777" w:rsidR="005A6DBB" w:rsidRDefault="00F93099">
      <w:pPr>
        <w:pStyle w:val="ListParagraph"/>
        <w:numPr>
          <w:ilvl w:val="0"/>
          <w:numId w:val="10"/>
        </w:numPr>
        <w:spacing w:before="120" w:after="120" w:line="360" w:lineRule="auto"/>
        <w:ind w:left="357" w:hanging="357"/>
        <w:contextualSpacing w:val="0"/>
        <w:rPr>
          <w:rFonts w:asciiTheme="minorHAnsi" w:hAnsiTheme="minorHAnsi" w:cstheme="minorHAnsi"/>
          <w:sz w:val="22"/>
          <w:szCs w:val="22"/>
          <w:lang w:val="en-US"/>
        </w:rPr>
      </w:pPr>
      <w:r>
        <w:rPr>
          <w:rFonts w:asciiTheme="minorHAnsi" w:hAnsiTheme="minorHAnsi" w:cstheme="minorHAnsi"/>
          <w:sz w:val="22"/>
          <w:szCs w:val="22"/>
          <w:lang w:val="en-US"/>
        </w:rPr>
        <w:t>A 2-day workshop at MMM with Management, including break away sessions for the four pillars identified above on 22 and 23 February 2023l and</w:t>
      </w:r>
    </w:p>
    <w:p w14:paraId="756BAB33" w14:textId="77777777" w:rsidR="005A6DBB" w:rsidRDefault="00F93099">
      <w:pPr>
        <w:pStyle w:val="ListParagraph"/>
        <w:numPr>
          <w:ilvl w:val="0"/>
          <w:numId w:val="10"/>
        </w:numPr>
        <w:spacing w:before="120" w:after="120" w:line="360" w:lineRule="auto"/>
        <w:ind w:left="357" w:hanging="357"/>
        <w:contextualSpacing w:val="0"/>
        <w:rPr>
          <w:rFonts w:asciiTheme="minorHAnsi" w:hAnsiTheme="minorHAnsi" w:cstheme="minorHAnsi"/>
          <w:sz w:val="22"/>
          <w:szCs w:val="22"/>
          <w:lang w:val="en-US"/>
        </w:rPr>
      </w:pPr>
      <w:r>
        <w:rPr>
          <w:rFonts w:asciiTheme="minorHAnsi" w:hAnsiTheme="minorHAnsi" w:cstheme="minorHAnsi"/>
          <w:sz w:val="22"/>
          <w:szCs w:val="22"/>
          <w:lang w:val="en-US"/>
        </w:rPr>
        <w:t>A 1-day feedback session with the Municipal Management on 12 May 2023 to discuss the key findings from the Status Quo Assessment.</w:t>
      </w:r>
    </w:p>
    <w:p w14:paraId="3E93BD36" w14:textId="77777777" w:rsidR="005A6DBB" w:rsidRDefault="00F93099">
      <w:pPr>
        <w:spacing w:before="120" w:after="120"/>
        <w:rPr>
          <w:lang w:val="en-US"/>
        </w:rPr>
      </w:pPr>
      <w:r>
        <w:rPr>
          <w:lang w:val="en-US"/>
        </w:rPr>
        <w:t>In addition to the above, information was shared between MMM officials, the NCR and National Treasury MFRS in order to facilitate access to information and transparency.</w:t>
      </w:r>
    </w:p>
    <w:p w14:paraId="44CE99DB" w14:textId="77777777" w:rsidR="005A6DBB" w:rsidRDefault="00F93099">
      <w:pPr>
        <w:spacing w:before="120" w:after="120"/>
        <w:rPr>
          <w:b/>
          <w:bCs/>
          <w:lang w:val="en-US"/>
        </w:rPr>
      </w:pPr>
      <w:r>
        <w:rPr>
          <w:b/>
          <w:bCs/>
          <w:lang w:val="en-US"/>
        </w:rPr>
        <w:t>Approval</w:t>
      </w:r>
    </w:p>
    <w:p w14:paraId="44F14D36" w14:textId="77777777" w:rsidR="005A6DBB" w:rsidRDefault="00F93099">
      <w:pPr>
        <w:spacing w:before="120" w:after="120"/>
        <w:rPr>
          <w:szCs w:val="22"/>
        </w:rPr>
      </w:pPr>
      <w:r>
        <w:rPr>
          <w:szCs w:val="22"/>
        </w:rPr>
        <w:t>This Status Quo Assessment will be submitted to the Municipality, Minister for CoGTA and the Minister of Finance.</w:t>
      </w:r>
    </w:p>
    <w:p w14:paraId="782BE49C" w14:textId="77777777" w:rsidR="005A6DBB" w:rsidRDefault="00F93099">
      <w:pPr>
        <w:pStyle w:val="Heading2"/>
      </w:pPr>
      <w:bookmarkStart w:id="14" w:name="_Toc137732201"/>
      <w:r>
        <w:t>RISK MATRIX</w:t>
      </w:r>
      <w:bookmarkEnd w:id="14"/>
      <w:r>
        <w:t xml:space="preserve"> </w:t>
      </w:r>
    </w:p>
    <w:p w14:paraId="46EE2643" w14:textId="77777777" w:rsidR="005A6DBB" w:rsidRDefault="00F93099">
      <w:pPr>
        <w:rPr>
          <w:rFonts w:cs="Calibri"/>
        </w:rPr>
      </w:pPr>
      <w:r>
        <w:rPr>
          <w:rFonts w:cs="Calibri"/>
        </w:rPr>
        <w:t>The identified risks that must be mitigated for the successful implementation of the proposes changes, particularly with regard to financial administration, budgeting, financial discipline and governance, especially political oversight.  There will also be a need for a regular review of the risks identified to ensure timely mitigation measures are instituted by the City Manager and the Political Leadership.</w:t>
      </w:r>
    </w:p>
    <w:p w14:paraId="393EC044" w14:textId="77777777" w:rsidR="005A6DBB" w:rsidRDefault="00F93099">
      <w:pPr>
        <w:rPr>
          <w:rFonts w:cs="Calibri"/>
        </w:rPr>
      </w:pPr>
      <w:r>
        <w:rPr>
          <w:rFonts w:cs="Calibri"/>
        </w:rPr>
        <w:t>The emerging risks identified, include amongst others:</w:t>
      </w:r>
    </w:p>
    <w:p w14:paraId="3762C812" w14:textId="77777777" w:rsidR="005A6DBB" w:rsidRDefault="00F93099">
      <w:pPr>
        <w:rPr>
          <w:rFonts w:cs="Calibri"/>
          <w:b/>
          <w:bCs/>
        </w:rPr>
      </w:pPr>
      <w:r>
        <w:rPr>
          <w:rFonts w:cs="Calibri"/>
          <w:b/>
          <w:bCs/>
        </w:rPr>
        <w:t>Governance</w:t>
      </w:r>
    </w:p>
    <w:p w14:paraId="63A22C6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Poor leadership and political oversight and interference in the administration;</w:t>
      </w:r>
    </w:p>
    <w:p w14:paraId="5F8F8C9E"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Lack of will to address the challenges in the service delivery model;</w:t>
      </w:r>
    </w:p>
    <w:p w14:paraId="211271A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Resistance to change by Unions, Management and Councilors;</w:t>
      </w:r>
    </w:p>
    <w:p w14:paraId="5B9DD40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Community service delivery and other protests;</w:t>
      </w:r>
    </w:p>
    <w:p w14:paraId="50DAEBC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Inadequate systems of delegation that impact on governance, administration and operational efficiency;</w:t>
      </w:r>
    </w:p>
    <w:p w14:paraId="7993FAB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Litigations issues due to SCM challenges; and</w:t>
      </w:r>
    </w:p>
    <w:p w14:paraId="3D06655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Inadequate implementation of internal controls.</w:t>
      </w:r>
    </w:p>
    <w:p w14:paraId="396ACE97" w14:textId="77777777" w:rsidR="005A6DBB" w:rsidRDefault="00F93099">
      <w:pPr>
        <w:rPr>
          <w:rFonts w:cs="Calibri"/>
          <w:b/>
          <w:bCs/>
        </w:rPr>
      </w:pPr>
      <w:r>
        <w:rPr>
          <w:rFonts w:cs="Calibri"/>
          <w:b/>
          <w:bCs/>
        </w:rPr>
        <w:t>Institutional</w:t>
      </w:r>
    </w:p>
    <w:p w14:paraId="518446B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Delay in the filling of critical vacant posts with people that have the appropriate experience, skills and qualifications; and</w:t>
      </w:r>
    </w:p>
    <w:p w14:paraId="5A9A3F8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Industrial actions owing to communications and resistance to the changes due to any organisational restructuring or realignment and the implementation thereof.</w:t>
      </w:r>
    </w:p>
    <w:p w14:paraId="6A844F2C" w14:textId="77777777" w:rsidR="005A6DBB" w:rsidRDefault="00F93099">
      <w:pPr>
        <w:rPr>
          <w:rFonts w:cs="Calibri"/>
          <w:b/>
          <w:bCs/>
        </w:rPr>
      </w:pPr>
      <w:r>
        <w:rPr>
          <w:rFonts w:cs="Calibri"/>
          <w:b/>
          <w:bCs/>
        </w:rPr>
        <w:t>Financial Health</w:t>
      </w:r>
    </w:p>
    <w:p w14:paraId="70DE341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Loss of grant funding due to non-compliance with grant conditions;</w:t>
      </w:r>
    </w:p>
    <w:p w14:paraId="1781E9F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Continued non-collection of revenue and increase in the debtors’ book; and</w:t>
      </w:r>
    </w:p>
    <w:p w14:paraId="6DF89F6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Non-commitment to stringent expenditure controls and non-implementation of the revenue enhancement initiatives.</w:t>
      </w:r>
    </w:p>
    <w:p w14:paraId="760774D3" w14:textId="77777777" w:rsidR="005A6DBB" w:rsidRDefault="00F93099">
      <w:pPr>
        <w:rPr>
          <w:rFonts w:cs="Calibri"/>
          <w:b/>
          <w:bCs/>
        </w:rPr>
      </w:pPr>
      <w:r>
        <w:rPr>
          <w:rFonts w:cs="Calibri"/>
          <w:b/>
          <w:bCs/>
        </w:rPr>
        <w:t>Service Delivery</w:t>
      </w:r>
    </w:p>
    <w:p w14:paraId="1719B72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Failure to materially control and reduce non-revenue electricity and water losses, which losses will negate the impact of other interventions;</w:t>
      </w:r>
    </w:p>
    <w:p w14:paraId="5094B17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Failure to reverse the trend of under-maintenance and failure of timely replacement of aged infrastructure; and</w:t>
      </w:r>
    </w:p>
    <w:p w14:paraId="736992B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Community unrest and vandalism.</w:t>
      </w:r>
    </w:p>
    <w:p w14:paraId="342FAC23" w14:textId="77777777" w:rsidR="005A6DBB" w:rsidRDefault="00F93099">
      <w:pPr>
        <w:spacing w:before="120" w:after="120"/>
        <w:rPr>
          <w:lang w:val="en-US"/>
        </w:rPr>
      </w:pPr>
      <w:r>
        <w:rPr>
          <w:lang w:val="en-US"/>
        </w:rPr>
        <w:t>Given this, a proper risk management matrix must also be developed as part of this process, managed, and reported to Council on a regular basis.  The risk management matrix should be updated on a regular basis, to incorporate additional risks which may be identified by the Municipality, clearly addressing those that will undermine the national efforts and support.</w:t>
      </w:r>
    </w:p>
    <w:p w14:paraId="23EB9335" w14:textId="77777777" w:rsidR="005A6DBB" w:rsidRDefault="00F93099">
      <w:pPr>
        <w:spacing w:before="120" w:after="120"/>
        <w:rPr>
          <w:lang w:val="en-US"/>
        </w:rPr>
      </w:pPr>
      <w:r>
        <w:rPr>
          <w:lang w:val="en-US"/>
        </w:rPr>
        <w:br w:type="page"/>
      </w:r>
    </w:p>
    <w:p w14:paraId="5003CBE3" w14:textId="77777777" w:rsidR="005A6DBB" w:rsidRDefault="005A6DBB">
      <w:pPr>
        <w:spacing w:before="120" w:after="120"/>
        <w:rPr>
          <w:lang w:val="en-US"/>
        </w:rPr>
        <w:sectPr w:rsidR="005A6DBB">
          <w:headerReference w:type="default" r:id="rId25"/>
          <w:footerReference w:type="default" r:id="rId26"/>
          <w:pgSz w:w="11906" w:h="16838"/>
          <w:pgMar w:top="1418" w:right="1274" w:bottom="1418" w:left="1418" w:header="850" w:footer="0" w:gutter="0"/>
          <w:pgNumType w:start="2"/>
          <w:cols w:space="720"/>
          <w:titlePg/>
          <w:docGrid w:linePitch="360"/>
        </w:sectPr>
      </w:pPr>
    </w:p>
    <w:p w14:paraId="3CB1A7CB" w14:textId="77777777" w:rsidR="005A6DBB" w:rsidRDefault="00F93099">
      <w:pPr>
        <w:pStyle w:val="Heading1"/>
        <w:numPr>
          <w:ilvl w:val="0"/>
          <w:numId w:val="1"/>
        </w:numPr>
        <w:spacing w:before="120" w:after="120" w:line="360" w:lineRule="auto"/>
        <w:ind w:left="709" w:right="147" w:hanging="567"/>
        <w:rPr>
          <w:caps w:val="0"/>
        </w:rPr>
      </w:pPr>
      <w:bookmarkStart w:id="16" w:name="_Toc132725115"/>
      <w:bookmarkStart w:id="17" w:name="_Toc132880210"/>
      <w:bookmarkStart w:id="18" w:name="_Toc132788191"/>
      <w:bookmarkStart w:id="19" w:name="_Toc137732202"/>
      <w:bookmarkEnd w:id="16"/>
      <w:bookmarkEnd w:id="17"/>
      <w:bookmarkEnd w:id="18"/>
      <w:r>
        <w:rPr>
          <w:caps w:val="0"/>
        </w:rPr>
        <w:t>PART TWO – STATUS QUO ASSESSMENT</w:t>
      </w:r>
      <w:bookmarkEnd w:id="19"/>
    </w:p>
    <w:p w14:paraId="067EF8E8" w14:textId="77777777" w:rsidR="005A6DBB" w:rsidRDefault="00F93099">
      <w:pPr>
        <w:pStyle w:val="Heading2"/>
      </w:pPr>
      <w:bookmarkStart w:id="20" w:name="_Toc137732203"/>
      <w:r>
        <w:t>KEY ISSUES IDENTIFIED AND PROPOSED INTERVENTION STRATEGIES</w:t>
      </w:r>
      <w:bookmarkEnd w:id="20"/>
    </w:p>
    <w:p w14:paraId="501F8DCF" w14:textId="77777777" w:rsidR="005A6DBB" w:rsidRDefault="00F93099">
      <w:pPr>
        <w:spacing w:before="120" w:after="120"/>
        <w:rPr>
          <w:lang w:val="en-US"/>
        </w:rPr>
      </w:pPr>
      <w:r>
        <w:rPr>
          <w:lang w:val="en-US"/>
        </w:rPr>
        <w:t>Detailed below are the findings of the status quo assessment and will be set out in terms of the following four (4) categories:</w:t>
      </w:r>
    </w:p>
    <w:p w14:paraId="65901A82" w14:textId="77777777" w:rsidR="005A6DBB" w:rsidRDefault="00F93099">
      <w:pPr>
        <w:spacing w:before="120" w:after="120"/>
        <w:rPr>
          <w:lang w:val="en-US"/>
        </w:rPr>
      </w:pPr>
      <w:r>
        <w:rPr>
          <w:lang w:val="en-US"/>
        </w:rPr>
        <w:t>4.2) Governance;</w:t>
      </w:r>
    </w:p>
    <w:p w14:paraId="6455E509" w14:textId="77777777" w:rsidR="005A6DBB" w:rsidRDefault="00F93099">
      <w:pPr>
        <w:spacing w:before="120" w:after="120"/>
        <w:rPr>
          <w:lang w:val="en-US"/>
        </w:rPr>
      </w:pPr>
      <w:r>
        <w:rPr>
          <w:lang w:val="en-US"/>
        </w:rPr>
        <w:t>4.3) Institutional, Organisational and Human Resources;</w:t>
      </w:r>
    </w:p>
    <w:p w14:paraId="4E40751E" w14:textId="77777777" w:rsidR="005A6DBB" w:rsidRDefault="00F93099">
      <w:pPr>
        <w:spacing w:before="120" w:after="120"/>
        <w:rPr>
          <w:lang w:val="en-US"/>
        </w:rPr>
      </w:pPr>
      <w:r>
        <w:rPr>
          <w:lang w:val="en-US"/>
        </w:rPr>
        <w:t>4.4) Financial Management; and</w:t>
      </w:r>
    </w:p>
    <w:p w14:paraId="19D9DA7D" w14:textId="77777777" w:rsidR="005A6DBB" w:rsidRDefault="00F93099">
      <w:pPr>
        <w:spacing w:before="120" w:after="120"/>
        <w:rPr>
          <w:lang w:val="en-US"/>
        </w:rPr>
      </w:pPr>
      <w:r>
        <w:rPr>
          <w:lang w:val="en-US"/>
        </w:rPr>
        <w:t>4.5) Service Delivery.</w:t>
      </w:r>
    </w:p>
    <w:p w14:paraId="559FB80A" w14:textId="77777777" w:rsidR="005A6DBB" w:rsidRDefault="00F93099">
      <w:pPr>
        <w:pStyle w:val="Heading2"/>
      </w:pPr>
      <w:bookmarkStart w:id="21" w:name="_Toc137732204"/>
      <w:r>
        <w:t>GOVERNANCE</w:t>
      </w:r>
      <w:bookmarkEnd w:id="21"/>
      <w:r>
        <w:t xml:space="preserve"> </w:t>
      </w:r>
    </w:p>
    <w:p w14:paraId="6B642E2C" w14:textId="77777777" w:rsidR="005A6DBB" w:rsidRDefault="00F93099">
      <w:pPr>
        <w:spacing w:before="120" w:after="120"/>
      </w:pPr>
      <w:r>
        <w:t xml:space="preserve">Municipalities are creatures of statute.  This means that Municipalities have no inherent functions and powers, except for those granted by legislation.  Legislation bestows executive and legislative powers to the Municipal Council.  It is therefore critical that Council must be stable to ensure delivery on its constitutional mandate.  The mandate of Municipalities is to deliver basic services, in the first instance, to the citizens of the Country.  </w:t>
      </w:r>
    </w:p>
    <w:p w14:paraId="7D4C4651" w14:textId="77777777" w:rsidR="005A6DBB" w:rsidRDefault="00F93099">
      <w:pPr>
        <w:spacing w:before="120" w:after="120"/>
      </w:pPr>
      <w:r>
        <w:t xml:space="preserve">What services, and how it is to be delivered, is legislated as well.  For a Municipality to function as foreseen in the Constitution, all powers and functions must be optimally executed and performed.  As shown below, Mangaung is plagued by political and administrative instability, that leads to poor service delivery and poor financial management.  </w:t>
      </w:r>
    </w:p>
    <w:p w14:paraId="723286D6" w14:textId="77777777" w:rsidR="005A6DBB" w:rsidRDefault="00F93099">
      <w:pPr>
        <w:spacing w:before="120" w:after="120"/>
      </w:pPr>
      <w:r>
        <w:t xml:space="preserve">In the path leading to this intervention, National Treasury, in conjunction with the Free State Provincial Treasury, developed a Status Quo Report dated August 2022.  It is understood that the findings made in the report, is still currently relevant.  </w:t>
      </w:r>
    </w:p>
    <w:p w14:paraId="176BB1DC" w14:textId="77777777" w:rsidR="005A6DBB" w:rsidRDefault="00F93099">
      <w:pPr>
        <w:spacing w:before="120" w:after="120"/>
      </w:pPr>
      <w:r>
        <w:t>Below find issues highlighted that negatively impacts on the Municipality being able to deliver on its mandate in a viable and sustainable manner.</w:t>
      </w:r>
    </w:p>
    <w:p w14:paraId="199310FA" w14:textId="77777777" w:rsidR="005A6DBB" w:rsidRDefault="005A6DBB">
      <w:pPr>
        <w:spacing w:before="120" w:after="120"/>
      </w:pPr>
    </w:p>
    <w:p w14:paraId="39FF084F" w14:textId="77777777" w:rsidR="005A6DBB" w:rsidRDefault="00F93099">
      <w:pPr>
        <w:spacing w:after="200" w:line="276" w:lineRule="auto"/>
        <w:jc w:val="left"/>
      </w:pPr>
      <w:r>
        <w:br w:type="page"/>
      </w:r>
    </w:p>
    <w:p w14:paraId="5FB2908F" w14:textId="77777777" w:rsidR="005A6DBB" w:rsidRDefault="005A6DBB">
      <w:pPr>
        <w:spacing w:after="200" w:line="276" w:lineRule="auto"/>
        <w:jc w:val="left"/>
        <w:sectPr w:rsidR="005A6DBB">
          <w:headerReference w:type="first" r:id="rId27"/>
          <w:footerReference w:type="first" r:id="rId28"/>
          <w:pgSz w:w="11906" w:h="16838"/>
          <w:pgMar w:top="1418" w:right="1276" w:bottom="1418" w:left="1418" w:header="850" w:footer="0" w:gutter="0"/>
          <w:cols w:space="720"/>
          <w:titlePg/>
          <w:docGrid w:linePitch="360"/>
        </w:sectPr>
      </w:pPr>
    </w:p>
    <w:tbl>
      <w:tblPr>
        <w:tblStyle w:val="TableGrid"/>
        <w:tblpPr w:leftFromText="180" w:rightFromText="180" w:vertAnchor="text" w:tblpY="1"/>
        <w:tblOverlap w:val="never"/>
        <w:tblW w:w="140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507"/>
        <w:gridCol w:w="3507"/>
        <w:gridCol w:w="3507"/>
        <w:gridCol w:w="3508"/>
      </w:tblGrid>
      <w:tr w:rsidR="005A6DBB" w14:paraId="08C9BB40" w14:textId="77777777">
        <w:trPr>
          <w:trHeight w:val="300"/>
          <w:tblHeader/>
        </w:trPr>
        <w:tc>
          <w:tcPr>
            <w:tcW w:w="3507" w:type="dxa"/>
            <w:shd w:val="clear" w:color="auto" w:fill="002060"/>
          </w:tcPr>
          <w:p w14:paraId="6060B7C8" w14:textId="77777777" w:rsidR="005A6DBB" w:rsidRDefault="00F93099">
            <w:pPr>
              <w:spacing w:before="120" w:after="120"/>
              <w:jc w:val="center"/>
              <w:rPr>
                <w:rFonts w:asciiTheme="minorHAnsi" w:hAnsiTheme="minorHAnsi" w:cstheme="minorHAnsi"/>
                <w:b/>
                <w:bCs/>
                <w:color w:val="FFFFFF" w:themeColor="background1"/>
                <w:sz w:val="20"/>
                <w:szCs w:val="20"/>
                <w:lang w:eastAsia="en-ZA"/>
              </w:rPr>
            </w:pPr>
            <w:r>
              <w:rPr>
                <w:rFonts w:asciiTheme="minorHAnsi" w:hAnsiTheme="minorHAnsi" w:cstheme="minorHAnsi"/>
                <w:b/>
                <w:bCs/>
                <w:color w:val="FFFFFF" w:themeColor="background1"/>
                <w:sz w:val="20"/>
                <w:szCs w:val="20"/>
                <w:lang w:eastAsia="en-ZA"/>
              </w:rPr>
              <w:t>Focus Area</w:t>
            </w:r>
          </w:p>
        </w:tc>
        <w:tc>
          <w:tcPr>
            <w:tcW w:w="3507" w:type="dxa"/>
            <w:shd w:val="clear" w:color="auto" w:fill="002060"/>
          </w:tcPr>
          <w:p w14:paraId="79775AD4" w14:textId="77777777" w:rsidR="005A6DBB" w:rsidRDefault="00F93099">
            <w:pPr>
              <w:spacing w:before="120" w:after="120"/>
              <w:jc w:val="center"/>
              <w:rPr>
                <w:rFonts w:asciiTheme="minorHAnsi" w:hAnsiTheme="minorHAnsi" w:cstheme="minorHAnsi"/>
                <w:b/>
                <w:bCs/>
                <w:color w:val="FFFFFF" w:themeColor="background1"/>
                <w:sz w:val="20"/>
                <w:szCs w:val="20"/>
                <w:lang w:eastAsia="en-ZA"/>
              </w:rPr>
            </w:pPr>
            <w:r>
              <w:rPr>
                <w:rFonts w:asciiTheme="minorHAnsi" w:hAnsiTheme="minorHAnsi" w:cstheme="minorHAnsi"/>
                <w:b/>
                <w:bCs/>
                <w:color w:val="FFFFFF" w:themeColor="background1"/>
                <w:sz w:val="20"/>
                <w:szCs w:val="20"/>
                <w:lang w:eastAsia="en-ZA"/>
              </w:rPr>
              <w:t>Brief Diagnostic Analysis</w:t>
            </w:r>
          </w:p>
        </w:tc>
        <w:tc>
          <w:tcPr>
            <w:tcW w:w="3507" w:type="dxa"/>
            <w:shd w:val="clear" w:color="auto" w:fill="002060"/>
          </w:tcPr>
          <w:p w14:paraId="72E47BC9" w14:textId="77777777" w:rsidR="005A6DBB" w:rsidRDefault="00F93099">
            <w:pPr>
              <w:spacing w:before="120" w:after="120"/>
              <w:jc w:val="center"/>
              <w:rPr>
                <w:rFonts w:asciiTheme="minorHAnsi" w:hAnsiTheme="minorHAnsi" w:cstheme="minorHAnsi"/>
                <w:b/>
                <w:bCs/>
                <w:color w:val="FFFFFF" w:themeColor="background1"/>
                <w:sz w:val="20"/>
                <w:szCs w:val="20"/>
                <w:lang w:eastAsia="en-ZA"/>
              </w:rPr>
            </w:pPr>
            <w:r>
              <w:rPr>
                <w:rFonts w:asciiTheme="minorHAnsi" w:hAnsiTheme="minorHAnsi" w:cstheme="minorHAnsi"/>
                <w:b/>
                <w:bCs/>
                <w:color w:val="FFFFFF" w:themeColor="background1"/>
                <w:sz w:val="20"/>
                <w:szCs w:val="20"/>
                <w:lang w:eastAsia="en-ZA"/>
              </w:rPr>
              <w:t>Key Issue/ Root Causes</w:t>
            </w:r>
          </w:p>
        </w:tc>
        <w:tc>
          <w:tcPr>
            <w:tcW w:w="3508" w:type="dxa"/>
            <w:shd w:val="clear" w:color="auto" w:fill="002060"/>
          </w:tcPr>
          <w:p w14:paraId="426DC920" w14:textId="77777777" w:rsidR="005A6DBB" w:rsidRDefault="00F93099">
            <w:pPr>
              <w:spacing w:before="120" w:after="120"/>
              <w:jc w:val="center"/>
              <w:rPr>
                <w:rFonts w:asciiTheme="minorHAnsi" w:hAnsiTheme="minorHAnsi" w:cstheme="minorHAnsi"/>
                <w:b/>
                <w:bCs/>
                <w:color w:val="FFFFFF" w:themeColor="background1"/>
                <w:sz w:val="20"/>
                <w:szCs w:val="20"/>
                <w:lang w:eastAsia="en-ZA"/>
              </w:rPr>
            </w:pPr>
            <w:r>
              <w:rPr>
                <w:rFonts w:asciiTheme="minorHAnsi" w:hAnsiTheme="minorHAnsi" w:cstheme="minorHAnsi"/>
                <w:b/>
                <w:bCs/>
                <w:color w:val="FFFFFF" w:themeColor="background1"/>
                <w:sz w:val="20"/>
                <w:szCs w:val="20"/>
                <w:lang w:eastAsia="en-ZA"/>
              </w:rPr>
              <w:t>Proposed Strategy to Resolve</w:t>
            </w:r>
          </w:p>
        </w:tc>
      </w:tr>
      <w:tr w:rsidR="005A6DBB" w14:paraId="069AB438" w14:textId="77777777">
        <w:trPr>
          <w:trHeight w:val="90"/>
        </w:trPr>
        <w:tc>
          <w:tcPr>
            <w:tcW w:w="3507" w:type="dxa"/>
            <w:vMerge w:val="restart"/>
            <w:shd w:val="clear" w:color="auto" w:fill="D4E1ED"/>
          </w:tcPr>
          <w:p w14:paraId="3E214BEF"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val="en-US" w:eastAsia="en-ZA"/>
              </w:rPr>
              <w:t xml:space="preserve">Governance, </w:t>
            </w:r>
            <w:r>
              <w:rPr>
                <w:rFonts w:asciiTheme="minorHAnsi" w:hAnsiTheme="minorHAnsi" w:cstheme="minorHAnsi"/>
                <w:b/>
                <w:bCs/>
                <w:sz w:val="20"/>
                <w:szCs w:val="20"/>
                <w:lang w:eastAsia="en-ZA"/>
              </w:rPr>
              <w:t xml:space="preserve">Council and </w:t>
            </w:r>
            <w:r>
              <w:rPr>
                <w:rFonts w:asciiTheme="minorHAnsi" w:hAnsiTheme="minorHAnsi" w:cstheme="minorHAnsi"/>
                <w:b/>
                <w:bCs/>
                <w:sz w:val="20"/>
                <w:szCs w:val="20"/>
                <w:lang w:val="en-US" w:eastAsia="en-ZA"/>
              </w:rPr>
              <w:t>oversight structures/</w:t>
            </w:r>
            <w:r>
              <w:rPr>
                <w:rFonts w:asciiTheme="minorHAnsi" w:hAnsiTheme="minorHAnsi" w:cstheme="minorHAnsi"/>
                <w:b/>
                <w:bCs/>
                <w:sz w:val="20"/>
                <w:szCs w:val="20"/>
                <w:lang w:eastAsia="en-ZA"/>
              </w:rPr>
              <w:t>Committees</w:t>
            </w:r>
          </w:p>
        </w:tc>
        <w:tc>
          <w:tcPr>
            <w:tcW w:w="3507" w:type="dxa"/>
            <w:shd w:val="clear" w:color="auto" w:fill="D4E1ED"/>
          </w:tcPr>
          <w:p w14:paraId="1E6AE6D1" w14:textId="77777777" w:rsidR="005A6DBB" w:rsidRDefault="00F93099">
            <w:pPr>
              <w:rPr>
                <w:rFonts w:asciiTheme="minorHAnsi" w:eastAsiaTheme="minorEastAsia" w:hAnsiTheme="minorHAnsi" w:cstheme="minorHAnsi"/>
                <w:sz w:val="20"/>
                <w:szCs w:val="20"/>
                <w:lang w:eastAsia="en-ZA"/>
              </w:rPr>
            </w:pPr>
            <w:r>
              <w:rPr>
                <w:rFonts w:asciiTheme="minorHAnsi" w:hAnsiTheme="minorHAnsi" w:cstheme="minorHAnsi"/>
                <w:sz w:val="20"/>
                <w:szCs w:val="20"/>
                <w:lang w:val="en-US" w:eastAsia="en-ZA"/>
              </w:rPr>
              <w:t>T</w:t>
            </w:r>
            <w:r>
              <w:rPr>
                <w:rFonts w:asciiTheme="minorHAnsi" w:hAnsiTheme="minorHAnsi" w:cstheme="minorHAnsi"/>
                <w:sz w:val="20"/>
                <w:szCs w:val="20"/>
                <w:lang w:val="en-ZA" w:eastAsia="en-ZA"/>
              </w:rPr>
              <w:t xml:space="preserve">he Municipality has an elected Speaker, </w:t>
            </w:r>
            <w:r>
              <w:rPr>
                <w:rFonts w:asciiTheme="minorHAnsi" w:hAnsiTheme="minorHAnsi" w:cstheme="minorHAnsi"/>
                <w:sz w:val="20"/>
                <w:szCs w:val="20"/>
                <w:lang w:val="en-US" w:eastAsia="en-ZA"/>
              </w:rPr>
              <w:t xml:space="preserve">Acting </w:t>
            </w:r>
            <w:r>
              <w:rPr>
                <w:rFonts w:asciiTheme="minorHAnsi" w:hAnsiTheme="minorHAnsi" w:cstheme="minorHAnsi"/>
                <w:sz w:val="20"/>
                <w:szCs w:val="20"/>
                <w:lang w:val="en-ZA" w:eastAsia="en-ZA"/>
              </w:rPr>
              <w:t xml:space="preserve">Executive Mayor and </w:t>
            </w:r>
            <w:r>
              <w:rPr>
                <w:rFonts w:asciiTheme="minorHAnsi" w:hAnsiTheme="minorHAnsi" w:cstheme="minorHAnsi"/>
                <w:sz w:val="20"/>
                <w:szCs w:val="20"/>
                <w:lang w:val="en-US" w:eastAsia="en-ZA"/>
              </w:rPr>
              <w:t xml:space="preserve">Acting </w:t>
            </w:r>
            <w:r>
              <w:rPr>
                <w:rFonts w:asciiTheme="minorHAnsi" w:hAnsiTheme="minorHAnsi" w:cstheme="minorHAnsi"/>
                <w:sz w:val="20"/>
                <w:szCs w:val="20"/>
                <w:lang w:val="en-ZA" w:eastAsia="en-ZA"/>
              </w:rPr>
              <w:t>Chief Whip</w:t>
            </w:r>
            <w:r>
              <w:rPr>
                <w:rFonts w:asciiTheme="minorHAnsi" w:hAnsiTheme="minorHAnsi" w:cstheme="minorHAnsi"/>
                <w:sz w:val="20"/>
                <w:szCs w:val="20"/>
                <w:lang w:val="en-US" w:eastAsia="en-ZA"/>
              </w:rPr>
              <w:t>.</w:t>
            </w:r>
          </w:p>
        </w:tc>
        <w:tc>
          <w:tcPr>
            <w:tcW w:w="3507" w:type="dxa"/>
            <w:shd w:val="clear" w:color="auto" w:fill="D4E1ED"/>
          </w:tcPr>
          <w:p w14:paraId="0625B559"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val="en-US" w:eastAsia="en-ZA"/>
              </w:rPr>
              <w:t>Delays in electing permanent Executive Mayor and Chief Whip is due to pending litigation.</w:t>
            </w:r>
          </w:p>
        </w:tc>
        <w:tc>
          <w:tcPr>
            <w:tcW w:w="3508" w:type="dxa"/>
            <w:shd w:val="clear" w:color="auto" w:fill="D4E1ED"/>
          </w:tcPr>
          <w:p w14:paraId="6FAACD8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val="en-US" w:eastAsia="en-ZA"/>
              </w:rPr>
              <w:t>Permanent Executive Mayor and Chief Whip to be electing before the end of June 2023 as a court order has been made.</w:t>
            </w:r>
          </w:p>
        </w:tc>
      </w:tr>
      <w:tr w:rsidR="005A6DBB" w14:paraId="23924C29" w14:textId="77777777">
        <w:trPr>
          <w:trHeight w:val="300"/>
        </w:trPr>
        <w:tc>
          <w:tcPr>
            <w:tcW w:w="3507" w:type="dxa"/>
            <w:vMerge/>
            <w:shd w:val="clear" w:color="auto" w:fill="D4E1ED"/>
          </w:tcPr>
          <w:p w14:paraId="7800809D" w14:textId="77777777" w:rsidR="005A6DBB" w:rsidRDefault="005A6DBB">
            <w:pPr>
              <w:spacing w:before="120" w:after="120"/>
              <w:rPr>
                <w:rFonts w:asciiTheme="minorHAnsi" w:hAnsiTheme="minorHAnsi" w:cstheme="minorHAnsi"/>
                <w:b/>
                <w:bCs/>
                <w:sz w:val="20"/>
                <w:szCs w:val="20"/>
                <w:lang w:eastAsia="en-ZA"/>
              </w:rPr>
            </w:pPr>
          </w:p>
        </w:tc>
        <w:tc>
          <w:tcPr>
            <w:tcW w:w="3507" w:type="dxa"/>
            <w:shd w:val="clear" w:color="auto" w:fill="D4E1ED"/>
          </w:tcPr>
          <w:p w14:paraId="4652F0AF" w14:textId="77777777" w:rsidR="005A6DBB" w:rsidRDefault="00F93099">
            <w:pPr>
              <w:rPr>
                <w:rFonts w:asciiTheme="minorHAnsi" w:eastAsiaTheme="minorEastAsia" w:hAnsiTheme="minorHAnsi" w:cstheme="minorHAnsi"/>
                <w:sz w:val="20"/>
                <w:szCs w:val="20"/>
                <w:lang w:eastAsia="en-ZA"/>
              </w:rPr>
            </w:pPr>
            <w:r>
              <w:rPr>
                <w:rFonts w:asciiTheme="minorHAnsi" w:hAnsiTheme="minorHAnsi" w:cstheme="minorHAnsi"/>
                <w:sz w:val="20"/>
                <w:szCs w:val="20"/>
                <w:lang w:val="en-US" w:eastAsia="en-ZA"/>
              </w:rPr>
              <w:t>All section 79 and 80 oversight structures are in place and now functional, after a period of instability experienced by the Municipality.  Chairperson of MPAC is not in place.  Terms of reference for the Programming Committee not developed yet.</w:t>
            </w:r>
          </w:p>
        </w:tc>
        <w:tc>
          <w:tcPr>
            <w:tcW w:w="3507" w:type="dxa"/>
            <w:shd w:val="clear" w:color="auto" w:fill="D4E1ED"/>
          </w:tcPr>
          <w:p w14:paraId="76E847E8"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Previous chairperson among the expelled councilors.</w:t>
            </w:r>
          </w:p>
          <w:p w14:paraId="481B836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Programming Committee was newly established, and </w:t>
            </w:r>
            <w:proofErr w:type="spellStart"/>
            <w:r>
              <w:rPr>
                <w:rFonts w:asciiTheme="minorHAnsi" w:hAnsiTheme="minorHAnsi" w:cstheme="minorHAnsi"/>
                <w:sz w:val="20"/>
                <w:szCs w:val="20"/>
                <w:lang w:val="en-US" w:eastAsia="en-ZA"/>
              </w:rPr>
              <w:t>ToR’s</w:t>
            </w:r>
            <w:proofErr w:type="spellEnd"/>
            <w:r>
              <w:rPr>
                <w:rFonts w:asciiTheme="minorHAnsi" w:hAnsiTheme="minorHAnsi" w:cstheme="minorHAnsi"/>
                <w:sz w:val="20"/>
                <w:szCs w:val="20"/>
                <w:lang w:val="en-US" w:eastAsia="en-ZA"/>
              </w:rPr>
              <w:t xml:space="preserve"> not developed yet.</w:t>
            </w:r>
          </w:p>
        </w:tc>
        <w:tc>
          <w:tcPr>
            <w:tcW w:w="3508" w:type="dxa"/>
            <w:shd w:val="clear" w:color="auto" w:fill="D4E1ED"/>
          </w:tcPr>
          <w:p w14:paraId="628D8EB0"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MPAC chairperson to be elected/appointed by end of June 2023.</w:t>
            </w:r>
          </w:p>
          <w:p w14:paraId="6BA7E89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val="en-US" w:eastAsia="en-ZA"/>
              </w:rPr>
              <w:t>Terms of reference to be finalised by end of June 2023.</w:t>
            </w:r>
          </w:p>
        </w:tc>
      </w:tr>
      <w:tr w:rsidR="005A6DBB" w14:paraId="38E04D2D" w14:textId="77777777">
        <w:trPr>
          <w:trHeight w:val="300"/>
        </w:trPr>
        <w:tc>
          <w:tcPr>
            <w:tcW w:w="3507" w:type="dxa"/>
            <w:vMerge/>
            <w:shd w:val="clear" w:color="auto" w:fill="BED3E4"/>
          </w:tcPr>
          <w:p w14:paraId="3E808501"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637B5579" w14:textId="77777777" w:rsidR="005A6DBB" w:rsidRDefault="00F93099">
            <w:pPr>
              <w:rPr>
                <w:rFonts w:asciiTheme="minorHAnsi" w:hAnsiTheme="minorHAnsi" w:cstheme="minorHAnsi"/>
                <w:color w:val="FF0000"/>
                <w:sz w:val="20"/>
                <w:szCs w:val="20"/>
                <w:lang w:val="en-US" w:eastAsia="en-ZA"/>
              </w:rPr>
            </w:pPr>
            <w:r>
              <w:rPr>
                <w:rFonts w:asciiTheme="minorHAnsi" w:hAnsiTheme="minorHAnsi" w:cstheme="minorHAnsi"/>
                <w:sz w:val="20"/>
                <w:szCs w:val="20"/>
                <w:lang w:val="en-US" w:eastAsia="en-ZA"/>
              </w:rPr>
              <w:t>The Municipality</w:t>
            </w:r>
            <w:r>
              <w:rPr>
                <w:rFonts w:asciiTheme="minorHAnsi" w:hAnsiTheme="minorHAnsi" w:cstheme="minorHAnsi"/>
                <w:sz w:val="20"/>
                <w:szCs w:val="20"/>
                <w:lang w:val="en-ZA" w:eastAsia="en-ZA"/>
              </w:rPr>
              <w:t xml:space="preserve"> has </w:t>
            </w:r>
            <w:r>
              <w:rPr>
                <w:rFonts w:asciiTheme="minorHAnsi" w:hAnsiTheme="minorHAnsi" w:cstheme="minorHAnsi"/>
                <w:sz w:val="20"/>
                <w:szCs w:val="20"/>
                <w:lang w:val="en-US" w:eastAsia="en-ZA"/>
              </w:rPr>
              <w:t xml:space="preserve">a manual </w:t>
            </w:r>
            <w:r>
              <w:rPr>
                <w:rFonts w:asciiTheme="minorHAnsi" w:hAnsiTheme="minorHAnsi" w:cstheme="minorHAnsi"/>
                <w:sz w:val="20"/>
                <w:szCs w:val="20"/>
                <w:lang w:val="en-ZA" w:eastAsia="en-ZA"/>
              </w:rPr>
              <w:t>resolution</w:t>
            </w:r>
            <w:r>
              <w:rPr>
                <w:rFonts w:asciiTheme="minorHAnsi" w:hAnsiTheme="minorHAnsi" w:cstheme="minorHAnsi"/>
                <w:sz w:val="20"/>
                <w:szCs w:val="20"/>
                <w:lang w:val="en-US" w:eastAsia="en-ZA"/>
              </w:rPr>
              <w:t>s register but not being effectively monitored for implementation.</w:t>
            </w:r>
          </w:p>
        </w:tc>
        <w:tc>
          <w:tcPr>
            <w:tcW w:w="3507" w:type="dxa"/>
            <w:shd w:val="clear" w:color="auto" w:fill="BED3E4"/>
          </w:tcPr>
          <w:p w14:paraId="0D8AE232"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centrally monitoring process or system to monitor implementation.</w:t>
            </w:r>
          </w:p>
        </w:tc>
        <w:tc>
          <w:tcPr>
            <w:tcW w:w="3508" w:type="dxa"/>
            <w:shd w:val="clear" w:color="auto" w:fill="BED3E4"/>
          </w:tcPr>
          <w:p w14:paraId="24144679" w14:textId="77777777" w:rsidR="005A6DBB" w:rsidRDefault="00F93099">
            <w:pPr>
              <w:rPr>
                <w:rFonts w:asciiTheme="minorHAnsi" w:hAnsiTheme="minorHAnsi" w:cstheme="minorHAnsi"/>
                <w:sz w:val="20"/>
                <w:szCs w:val="20"/>
                <w:highlight w:val="green"/>
                <w:lang w:val="en-US" w:eastAsia="en-ZA"/>
              </w:rPr>
            </w:pPr>
            <w:r>
              <w:rPr>
                <w:rFonts w:asciiTheme="minorHAnsi" w:hAnsiTheme="minorHAnsi" w:cstheme="minorHAnsi"/>
                <w:sz w:val="20"/>
                <w:szCs w:val="20"/>
                <w:lang w:val="en-US" w:eastAsia="en-ZA"/>
              </w:rPr>
              <w:t>Council resolutions implementation to form part of Executive Management for effective monitoring and the status be tabled at Council regularly.</w:t>
            </w:r>
          </w:p>
        </w:tc>
      </w:tr>
      <w:tr w:rsidR="005A6DBB" w14:paraId="7EDFE09A" w14:textId="77777777">
        <w:trPr>
          <w:trHeight w:val="300"/>
        </w:trPr>
        <w:tc>
          <w:tcPr>
            <w:tcW w:w="3507" w:type="dxa"/>
            <w:vMerge/>
            <w:shd w:val="clear" w:color="auto" w:fill="BED3E4"/>
          </w:tcPr>
          <w:p w14:paraId="0FFD7A30"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0A4537D1" w14:textId="77777777" w:rsidR="005A6DBB" w:rsidRDefault="00F93099">
            <w:pPr>
              <w:rPr>
                <w:rFonts w:asciiTheme="minorHAnsi" w:hAnsiTheme="minorHAnsi" w:cstheme="minorHAnsi"/>
                <w:color w:val="FF0000"/>
                <w:sz w:val="20"/>
                <w:szCs w:val="20"/>
                <w:lang w:val="en-US" w:eastAsia="en-ZA"/>
              </w:rPr>
            </w:pPr>
            <w:r>
              <w:rPr>
                <w:rFonts w:asciiTheme="minorHAnsi" w:hAnsiTheme="minorHAnsi" w:cstheme="minorHAnsi"/>
                <w:sz w:val="20"/>
                <w:szCs w:val="20"/>
                <w:lang w:val="en-US" w:eastAsia="en-ZA"/>
              </w:rPr>
              <w:t>The Municipality has one public entity. The SLA with CENTLEC does not provide for revenue to be transferred to the Municipality.</w:t>
            </w:r>
          </w:p>
        </w:tc>
        <w:tc>
          <w:tcPr>
            <w:tcW w:w="3507" w:type="dxa"/>
            <w:shd w:val="clear" w:color="auto" w:fill="BED3E4"/>
          </w:tcPr>
          <w:p w14:paraId="1C7AFF21"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SLA has not been signed and adequate provisions for revenue management not provided for.</w:t>
            </w:r>
          </w:p>
        </w:tc>
        <w:tc>
          <w:tcPr>
            <w:tcW w:w="3508" w:type="dxa"/>
            <w:shd w:val="clear" w:color="auto" w:fill="BED3E4"/>
          </w:tcPr>
          <w:p w14:paraId="359A634A" w14:textId="77777777" w:rsidR="005A6DBB" w:rsidRDefault="00F93099">
            <w:pPr>
              <w:rPr>
                <w:rFonts w:asciiTheme="minorHAnsi" w:hAnsiTheme="minorHAnsi" w:cstheme="minorHAnsi"/>
                <w:sz w:val="20"/>
                <w:szCs w:val="20"/>
                <w:highlight w:val="green"/>
                <w:lang w:val="en-US" w:eastAsia="en-ZA"/>
              </w:rPr>
            </w:pPr>
            <w:r>
              <w:rPr>
                <w:rFonts w:asciiTheme="minorHAnsi" w:hAnsiTheme="minorHAnsi" w:cstheme="minorHAnsi"/>
                <w:sz w:val="20"/>
                <w:szCs w:val="20"/>
                <w:lang w:val="en-US" w:eastAsia="en-ZA"/>
              </w:rPr>
              <w:t>Council should review the SLA to ensure that the Municipality receives revenue as per reviewed SLA.</w:t>
            </w:r>
          </w:p>
        </w:tc>
      </w:tr>
      <w:tr w:rsidR="005A6DBB" w14:paraId="4D2F3D41" w14:textId="77777777">
        <w:trPr>
          <w:trHeight w:val="300"/>
        </w:trPr>
        <w:tc>
          <w:tcPr>
            <w:tcW w:w="3507" w:type="dxa"/>
            <w:vMerge/>
            <w:shd w:val="clear" w:color="auto" w:fill="BED3E4"/>
          </w:tcPr>
          <w:p w14:paraId="6DB8622A"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559AC697" w14:textId="77777777" w:rsidR="005A6DBB" w:rsidRDefault="00F93099">
            <w:pPr>
              <w:rPr>
                <w:rFonts w:asciiTheme="minorHAnsi" w:hAnsiTheme="minorHAnsi" w:cstheme="minorHAnsi"/>
                <w:color w:val="C00000"/>
                <w:sz w:val="20"/>
                <w:szCs w:val="20"/>
                <w:lang w:val="en-US" w:eastAsia="en-ZA"/>
              </w:rPr>
            </w:pPr>
            <w:r>
              <w:rPr>
                <w:rFonts w:asciiTheme="minorHAnsi" w:hAnsiTheme="minorHAnsi" w:cstheme="minorHAnsi"/>
                <w:sz w:val="20"/>
                <w:szCs w:val="20"/>
                <w:lang w:val="en-US" w:eastAsia="en-ZA"/>
              </w:rPr>
              <w:t xml:space="preserve">The Municipality does not have </w:t>
            </w:r>
            <w:r>
              <w:rPr>
                <w:rFonts w:asciiTheme="minorHAnsi" w:hAnsiTheme="minorHAnsi" w:cstheme="minorHAnsi"/>
                <w:sz w:val="20"/>
                <w:szCs w:val="20"/>
                <w:lang w:val="en-ZA" w:eastAsia="en-ZA"/>
              </w:rPr>
              <w:t xml:space="preserve">a stakeholder engagement strategy and public participation policy </w:t>
            </w:r>
            <w:r>
              <w:rPr>
                <w:rFonts w:asciiTheme="minorHAnsi" w:hAnsiTheme="minorHAnsi" w:cstheme="minorHAnsi"/>
                <w:sz w:val="20"/>
                <w:szCs w:val="20"/>
                <w:lang w:val="en-US" w:eastAsia="en-ZA"/>
              </w:rPr>
              <w:t>in place.</w:t>
            </w:r>
          </w:p>
        </w:tc>
        <w:tc>
          <w:tcPr>
            <w:tcW w:w="3507" w:type="dxa"/>
            <w:shd w:val="clear" w:color="auto" w:fill="BED3E4"/>
          </w:tcPr>
          <w:p w14:paraId="2DC166E6" w14:textId="77777777" w:rsidR="005A6DBB" w:rsidRDefault="00F93099">
            <w:pPr>
              <w:rPr>
                <w:rFonts w:asciiTheme="minorHAnsi" w:hAnsiTheme="minorHAnsi" w:cstheme="minorHAnsi"/>
                <w:sz w:val="20"/>
                <w:szCs w:val="20"/>
                <w:highlight w:val="green"/>
                <w:lang w:val="en-US" w:eastAsia="en-ZA"/>
              </w:rPr>
            </w:pPr>
            <w:r>
              <w:rPr>
                <w:rFonts w:asciiTheme="minorHAnsi" w:hAnsiTheme="minorHAnsi" w:cstheme="minorHAnsi"/>
                <w:sz w:val="20"/>
                <w:szCs w:val="20"/>
                <w:lang w:val="en-US" w:eastAsia="en-ZA"/>
              </w:rPr>
              <w:t>Instability in the municipality has created gaps in the system.</w:t>
            </w:r>
          </w:p>
        </w:tc>
        <w:tc>
          <w:tcPr>
            <w:tcW w:w="3508" w:type="dxa"/>
            <w:shd w:val="clear" w:color="auto" w:fill="BED3E4"/>
          </w:tcPr>
          <w:p w14:paraId="6F954970"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Develop and implement a stakeholder engagement strategy and a public participation policy that introduces various stakeholder engagement forums. </w:t>
            </w:r>
          </w:p>
        </w:tc>
      </w:tr>
      <w:tr w:rsidR="005A6DBB" w14:paraId="22455339" w14:textId="77777777">
        <w:trPr>
          <w:trHeight w:val="300"/>
        </w:trPr>
        <w:tc>
          <w:tcPr>
            <w:tcW w:w="3507" w:type="dxa"/>
            <w:vMerge/>
            <w:shd w:val="clear" w:color="auto" w:fill="BED3E4"/>
          </w:tcPr>
          <w:p w14:paraId="284DD249"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4C891508"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ZA" w:eastAsia="en-ZA"/>
              </w:rPr>
              <w:t xml:space="preserve">Disciplinary Board </w:t>
            </w:r>
            <w:r>
              <w:rPr>
                <w:rFonts w:asciiTheme="minorHAnsi" w:hAnsiTheme="minorHAnsi" w:cstheme="minorHAnsi"/>
                <w:sz w:val="20"/>
                <w:szCs w:val="20"/>
                <w:lang w:val="en-US" w:eastAsia="en-ZA"/>
              </w:rPr>
              <w:t xml:space="preserve">not in place and therefore not </w:t>
            </w:r>
            <w:r>
              <w:rPr>
                <w:rFonts w:asciiTheme="minorHAnsi" w:hAnsiTheme="minorHAnsi" w:cstheme="minorHAnsi"/>
                <w:sz w:val="20"/>
                <w:szCs w:val="20"/>
                <w:lang w:val="en-ZA" w:eastAsia="en-ZA"/>
              </w:rPr>
              <w:t>functional</w:t>
            </w:r>
            <w:r>
              <w:rPr>
                <w:rFonts w:asciiTheme="minorHAnsi" w:hAnsiTheme="minorHAnsi" w:cstheme="minorHAnsi"/>
                <w:sz w:val="20"/>
                <w:szCs w:val="20"/>
                <w:lang w:val="en-US" w:eastAsia="en-ZA"/>
              </w:rPr>
              <w:t>.</w:t>
            </w:r>
          </w:p>
        </w:tc>
        <w:tc>
          <w:tcPr>
            <w:tcW w:w="3507" w:type="dxa"/>
            <w:shd w:val="clear" w:color="auto" w:fill="BED3E4"/>
          </w:tcPr>
          <w:p w14:paraId="41F8BDE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Terms of office expired in January 2023</w:t>
            </w:r>
          </w:p>
        </w:tc>
        <w:tc>
          <w:tcPr>
            <w:tcW w:w="3508" w:type="dxa"/>
            <w:shd w:val="clear" w:color="auto" w:fill="BED3E4"/>
          </w:tcPr>
          <w:p w14:paraId="7E9B2E1F"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Re-advert to be placed urgently for the appointment of the new Disciplinary Board.</w:t>
            </w:r>
          </w:p>
        </w:tc>
      </w:tr>
      <w:tr w:rsidR="005A6DBB" w14:paraId="534F1DD5" w14:textId="77777777">
        <w:trPr>
          <w:trHeight w:val="300"/>
        </w:trPr>
        <w:tc>
          <w:tcPr>
            <w:tcW w:w="3507" w:type="dxa"/>
            <w:vMerge/>
            <w:shd w:val="clear" w:color="auto" w:fill="BED3E4"/>
          </w:tcPr>
          <w:p w14:paraId="58968434"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215A9835" w14:textId="77777777" w:rsidR="005A6DBB" w:rsidRDefault="00F93099">
            <w:pPr>
              <w:rPr>
                <w:rFonts w:asciiTheme="minorHAnsi" w:hAnsiTheme="minorHAnsi" w:cstheme="minorHAnsi"/>
                <w:color w:val="C00000"/>
                <w:sz w:val="20"/>
                <w:szCs w:val="20"/>
                <w:lang w:val="en-US" w:eastAsia="en-ZA"/>
              </w:rPr>
            </w:pPr>
            <w:r>
              <w:rPr>
                <w:rFonts w:asciiTheme="minorHAnsi" w:hAnsiTheme="minorHAnsi" w:cstheme="minorHAnsi"/>
                <w:sz w:val="20"/>
                <w:szCs w:val="20"/>
                <w:lang w:val="en-US" w:eastAsia="en-ZA"/>
              </w:rPr>
              <w:t>C</w:t>
            </w:r>
            <w:proofErr w:type="spellStart"/>
            <w:r>
              <w:rPr>
                <w:rFonts w:asciiTheme="minorHAnsi" w:hAnsiTheme="minorHAnsi" w:cstheme="minorHAnsi"/>
                <w:sz w:val="20"/>
                <w:szCs w:val="20"/>
                <w:lang w:val="en-ZA" w:eastAsia="en-ZA"/>
              </w:rPr>
              <w:t>ouncillors</w:t>
            </w:r>
            <w:proofErr w:type="spellEnd"/>
            <w:r>
              <w:rPr>
                <w:rFonts w:asciiTheme="minorHAnsi" w:hAnsiTheme="minorHAnsi" w:cstheme="minorHAnsi"/>
                <w:sz w:val="20"/>
                <w:szCs w:val="20"/>
                <w:lang w:val="en-ZA" w:eastAsia="en-ZA"/>
              </w:rPr>
              <w:t xml:space="preserve"> and staff declare their interests</w:t>
            </w:r>
            <w:r>
              <w:rPr>
                <w:rFonts w:asciiTheme="minorHAnsi" w:hAnsiTheme="minorHAnsi" w:cstheme="minorHAnsi"/>
                <w:sz w:val="20"/>
                <w:szCs w:val="20"/>
                <w:lang w:val="en-US" w:eastAsia="en-ZA"/>
              </w:rPr>
              <w:t xml:space="preserve"> in registers but there is no monitoring process of the status of the declarations.</w:t>
            </w:r>
          </w:p>
        </w:tc>
        <w:tc>
          <w:tcPr>
            <w:tcW w:w="3507" w:type="dxa"/>
            <w:shd w:val="clear" w:color="auto" w:fill="BED3E4"/>
          </w:tcPr>
          <w:p w14:paraId="2B8DF083" w14:textId="77777777" w:rsidR="005A6DBB" w:rsidRDefault="00F93099">
            <w:pPr>
              <w:rPr>
                <w:rFonts w:asciiTheme="minorHAnsi" w:hAnsiTheme="minorHAnsi" w:cstheme="minorHAnsi"/>
                <w:sz w:val="20"/>
                <w:szCs w:val="20"/>
                <w:highlight w:val="green"/>
                <w:lang w:val="en-US" w:eastAsia="en-ZA"/>
              </w:rPr>
            </w:pPr>
            <w:r>
              <w:rPr>
                <w:rFonts w:asciiTheme="minorHAnsi" w:hAnsiTheme="minorHAnsi" w:cstheme="minorHAnsi"/>
                <w:sz w:val="20"/>
                <w:szCs w:val="20"/>
                <w:lang w:val="en-US" w:eastAsia="en-ZA"/>
              </w:rPr>
              <w:t>Ineffective coordination and monitoring process of disclosure of interests.</w:t>
            </w:r>
          </w:p>
        </w:tc>
        <w:tc>
          <w:tcPr>
            <w:tcW w:w="3508" w:type="dxa"/>
            <w:shd w:val="clear" w:color="auto" w:fill="BED3E4"/>
          </w:tcPr>
          <w:p w14:paraId="7F50A176" w14:textId="77777777" w:rsidR="005A6DBB" w:rsidRDefault="00F93099">
            <w:pPr>
              <w:rPr>
                <w:rFonts w:asciiTheme="minorHAnsi" w:hAnsiTheme="minorHAnsi" w:cstheme="minorHAnsi"/>
                <w:sz w:val="20"/>
                <w:szCs w:val="20"/>
                <w:highlight w:val="green"/>
                <w:lang w:val="en-US" w:eastAsia="en-ZA"/>
              </w:rPr>
            </w:pPr>
            <w:r>
              <w:rPr>
                <w:rFonts w:asciiTheme="minorHAnsi" w:hAnsiTheme="minorHAnsi" w:cstheme="minorHAnsi"/>
                <w:sz w:val="20"/>
                <w:szCs w:val="20"/>
                <w:lang w:val="en-US" w:eastAsia="en-ZA"/>
              </w:rPr>
              <w:t>Develop a process plan of monitoring declaration of interests by councillors and staff.</w:t>
            </w:r>
          </w:p>
        </w:tc>
      </w:tr>
      <w:tr w:rsidR="005A6DBB" w14:paraId="72FC28F6" w14:textId="77777777">
        <w:trPr>
          <w:trHeight w:val="300"/>
        </w:trPr>
        <w:tc>
          <w:tcPr>
            <w:tcW w:w="3507" w:type="dxa"/>
            <w:vMerge/>
            <w:shd w:val="clear" w:color="auto" w:fill="BED3E4"/>
          </w:tcPr>
          <w:p w14:paraId="1D3858DC" w14:textId="77777777" w:rsidR="005A6DBB" w:rsidRDefault="005A6DBB">
            <w:pPr>
              <w:spacing w:before="120" w:after="120"/>
              <w:rPr>
                <w:rFonts w:asciiTheme="minorHAnsi" w:hAnsiTheme="minorHAnsi" w:cstheme="minorHAnsi"/>
                <w:b/>
                <w:bCs/>
                <w:sz w:val="20"/>
                <w:szCs w:val="20"/>
                <w:highlight w:val="green"/>
                <w:lang w:eastAsia="en-ZA"/>
              </w:rPr>
            </w:pPr>
          </w:p>
        </w:tc>
        <w:tc>
          <w:tcPr>
            <w:tcW w:w="3507" w:type="dxa"/>
            <w:shd w:val="clear" w:color="auto" w:fill="BED3E4"/>
          </w:tcPr>
          <w:p w14:paraId="15B5B9A7" w14:textId="77777777" w:rsidR="005A6DBB" w:rsidRDefault="00F93099">
            <w:pPr>
              <w:rPr>
                <w:rFonts w:asciiTheme="minorHAnsi" w:hAnsiTheme="minorHAnsi" w:cstheme="minorHAnsi"/>
                <w:sz w:val="20"/>
                <w:szCs w:val="20"/>
                <w:highlight w:val="green"/>
                <w:lang w:eastAsia="en-ZA"/>
              </w:rPr>
            </w:pPr>
            <w:r>
              <w:rPr>
                <w:rFonts w:asciiTheme="minorHAnsi" w:hAnsiTheme="minorHAnsi" w:cstheme="minorHAnsi"/>
                <w:sz w:val="20"/>
                <w:szCs w:val="20"/>
                <w:lang w:val="en-ZA" w:eastAsia="en-ZA"/>
              </w:rPr>
              <w:t xml:space="preserve">Council </w:t>
            </w:r>
            <w:r>
              <w:rPr>
                <w:rFonts w:asciiTheme="minorHAnsi" w:hAnsiTheme="minorHAnsi" w:cstheme="minorHAnsi"/>
                <w:sz w:val="20"/>
                <w:szCs w:val="20"/>
                <w:lang w:val="en-US" w:eastAsia="en-ZA"/>
              </w:rPr>
              <w:t xml:space="preserve">does not approve </w:t>
            </w:r>
            <w:r>
              <w:rPr>
                <w:rFonts w:asciiTheme="minorHAnsi" w:hAnsiTheme="minorHAnsi" w:cstheme="minorHAnsi"/>
                <w:sz w:val="20"/>
                <w:szCs w:val="20"/>
                <w:lang w:val="en-ZA" w:eastAsia="en-ZA"/>
              </w:rPr>
              <w:t>statutory reports timeously</w:t>
            </w:r>
            <w:r>
              <w:rPr>
                <w:rFonts w:asciiTheme="minorHAnsi" w:hAnsiTheme="minorHAnsi" w:cstheme="minorHAnsi"/>
                <w:sz w:val="20"/>
                <w:szCs w:val="20"/>
                <w:lang w:val="en-US" w:eastAsia="en-ZA"/>
              </w:rPr>
              <w:t xml:space="preserve"> </w:t>
            </w:r>
            <w:r>
              <w:rPr>
                <w:rFonts w:asciiTheme="minorHAnsi" w:hAnsiTheme="minorHAnsi" w:cstheme="minorHAnsi"/>
                <w:sz w:val="20"/>
                <w:szCs w:val="20"/>
                <w:lang w:val="en-ZA" w:eastAsia="en-ZA"/>
              </w:rPr>
              <w:t>in line with the approved</w:t>
            </w:r>
            <w:r>
              <w:rPr>
                <w:rFonts w:asciiTheme="minorHAnsi" w:hAnsiTheme="minorHAnsi" w:cstheme="minorHAnsi"/>
                <w:sz w:val="20"/>
                <w:szCs w:val="20"/>
                <w:lang w:val="en-US" w:eastAsia="en-ZA"/>
              </w:rPr>
              <w:t xml:space="preserve"> MFMA</w:t>
            </w:r>
            <w:r>
              <w:rPr>
                <w:rFonts w:asciiTheme="minorHAnsi" w:hAnsiTheme="minorHAnsi" w:cstheme="minorHAnsi"/>
                <w:sz w:val="20"/>
                <w:szCs w:val="20"/>
                <w:lang w:val="en-ZA" w:eastAsia="en-ZA"/>
              </w:rPr>
              <w:t xml:space="preserve"> calendar</w:t>
            </w:r>
            <w:r>
              <w:rPr>
                <w:rFonts w:asciiTheme="minorHAnsi" w:hAnsiTheme="minorHAnsi" w:cstheme="minorHAnsi"/>
                <w:sz w:val="20"/>
                <w:szCs w:val="20"/>
                <w:lang w:val="en-US" w:eastAsia="en-ZA"/>
              </w:rPr>
              <w:t xml:space="preserve">, </w:t>
            </w:r>
            <w:proofErr w:type="spellStart"/>
            <w:r>
              <w:rPr>
                <w:rFonts w:asciiTheme="minorHAnsi" w:hAnsiTheme="minorHAnsi" w:cstheme="minorHAnsi"/>
                <w:sz w:val="20"/>
                <w:szCs w:val="20"/>
                <w:lang w:val="en-US" w:eastAsia="en-ZA"/>
              </w:rPr>
              <w:t>e.g</w:t>
            </w:r>
            <w:proofErr w:type="spellEnd"/>
            <w:r>
              <w:rPr>
                <w:rFonts w:asciiTheme="minorHAnsi" w:hAnsiTheme="minorHAnsi" w:cstheme="minorHAnsi"/>
                <w:sz w:val="20"/>
                <w:szCs w:val="20"/>
                <w:lang w:val="en-US" w:eastAsia="en-ZA"/>
              </w:rPr>
              <w:t xml:space="preserve"> MPAC report, Annual Report for 2022/23 not yet tabled, budget not yet passed, etc.</w:t>
            </w:r>
          </w:p>
        </w:tc>
        <w:tc>
          <w:tcPr>
            <w:tcW w:w="3507" w:type="dxa"/>
            <w:shd w:val="clear" w:color="auto" w:fill="BED3E4"/>
          </w:tcPr>
          <w:p w14:paraId="77A00B50"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Political instability, infighting and hung council meetings have contributed to the delays.</w:t>
            </w:r>
          </w:p>
        </w:tc>
        <w:tc>
          <w:tcPr>
            <w:tcW w:w="3508" w:type="dxa"/>
            <w:shd w:val="clear" w:color="auto" w:fill="BED3E4"/>
          </w:tcPr>
          <w:p w14:paraId="51DEFF7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New leadership and City Manager to ensure urgent approval of all reports in line with the MFMA calendar.</w:t>
            </w:r>
          </w:p>
        </w:tc>
      </w:tr>
      <w:tr w:rsidR="005A6DBB" w14:paraId="797E8ABA" w14:textId="77777777">
        <w:trPr>
          <w:trHeight w:val="300"/>
        </w:trPr>
        <w:tc>
          <w:tcPr>
            <w:tcW w:w="3507" w:type="dxa"/>
            <w:shd w:val="clear" w:color="auto" w:fill="BED3E4"/>
          </w:tcPr>
          <w:p w14:paraId="4EBC5B4E"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Contract Management</w:t>
            </w:r>
          </w:p>
        </w:tc>
        <w:tc>
          <w:tcPr>
            <w:tcW w:w="3507" w:type="dxa"/>
            <w:shd w:val="clear" w:color="auto" w:fill="BED3E4"/>
          </w:tcPr>
          <w:p w14:paraId="2B079594"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There is no functioning contract management system in place.</w:t>
            </w:r>
          </w:p>
          <w:p w14:paraId="5D022B3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Not clear where the function should be performed or located.</w:t>
            </w:r>
          </w:p>
          <w:p w14:paraId="37412F74"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There isn’t an up-to-date contract register.</w:t>
            </w:r>
          </w:p>
          <w:p w14:paraId="5AC657BF"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contracted services were 4.73% (2020/21) and 3.79% (2021/22) respectively which was within the Circular 71 norm of 2-5%.</w:t>
            </w:r>
          </w:p>
          <w:p w14:paraId="062115B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The Municipality has contracted services with service providers where there is staff employed to do the same work. </w:t>
            </w:r>
          </w:p>
          <w:p w14:paraId="3E4B4428"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Some contracts have not been signed by the previous MM.</w:t>
            </w:r>
          </w:p>
          <w:p w14:paraId="68828639"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Municipality has evergreen contracts that are automatically renewed without going back to the market.</w:t>
            </w:r>
          </w:p>
          <w:p w14:paraId="726434C9" w14:textId="77777777" w:rsidR="005A6DBB"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ZA" w:eastAsia="en-ZA"/>
              </w:rPr>
              <w:t>For the past 2 months the Municipality did comply with section 116 of the MFMA on submission of monthly monitoring reports on contracts, however this process need to be reviewed.</w:t>
            </w:r>
          </w:p>
          <w:p w14:paraId="43364B73" w14:textId="540B0F05" w:rsidR="00533420" w:rsidRDefault="00533420">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ZA" w:eastAsia="en-ZA"/>
              </w:rPr>
              <w:t xml:space="preserve">An updated contract register could not be </w:t>
            </w:r>
            <w:r w:rsidR="00E3271A">
              <w:rPr>
                <w:rFonts w:asciiTheme="minorHAnsi" w:hAnsiTheme="minorHAnsi" w:cstheme="minorHAnsi"/>
                <w:sz w:val="20"/>
                <w:szCs w:val="20"/>
                <w:lang w:val="en-ZA" w:eastAsia="en-ZA"/>
              </w:rPr>
              <w:t>obtained,</w:t>
            </w:r>
            <w:r>
              <w:rPr>
                <w:rFonts w:asciiTheme="minorHAnsi" w:hAnsiTheme="minorHAnsi" w:cstheme="minorHAnsi"/>
                <w:sz w:val="20"/>
                <w:szCs w:val="20"/>
                <w:lang w:val="en-ZA" w:eastAsia="en-ZA"/>
              </w:rPr>
              <w:t xml:space="preserve"> and the following could not be established: </w:t>
            </w:r>
          </w:p>
          <w:p w14:paraId="14DC68D5" w14:textId="5D54A742" w:rsidR="0028190A" w:rsidRPr="00B21D4A" w:rsidRDefault="0028190A">
            <w:pPr>
              <w:spacing w:before="120" w:after="120"/>
              <w:rPr>
                <w:rFonts w:asciiTheme="minorHAnsi" w:hAnsiTheme="minorHAnsi" w:cstheme="minorHAnsi"/>
                <w:sz w:val="20"/>
                <w:szCs w:val="20"/>
                <w:lang w:val="en-ZA" w:eastAsia="en-ZA"/>
              </w:rPr>
            </w:pPr>
            <w:r w:rsidRPr="00B21D4A">
              <w:rPr>
                <w:rFonts w:asciiTheme="minorHAnsi" w:hAnsiTheme="minorHAnsi" w:cstheme="minorHAnsi"/>
                <w:sz w:val="20"/>
                <w:szCs w:val="20"/>
                <w:lang w:val="en-ZA" w:eastAsia="en-ZA"/>
              </w:rPr>
              <w:t>If there</w:t>
            </w:r>
            <w:r w:rsidR="00612BC4" w:rsidRPr="00B21D4A">
              <w:rPr>
                <w:rFonts w:asciiTheme="minorHAnsi" w:hAnsiTheme="minorHAnsi" w:cstheme="minorHAnsi"/>
                <w:sz w:val="20"/>
                <w:szCs w:val="20"/>
                <w:lang w:val="en-ZA" w:eastAsia="en-ZA"/>
              </w:rPr>
              <w:t xml:space="preserve"> are any</w:t>
            </w:r>
            <w:r w:rsidRPr="00B21D4A">
              <w:rPr>
                <w:rFonts w:asciiTheme="minorHAnsi" w:hAnsiTheme="minorHAnsi" w:cstheme="minorHAnsi"/>
                <w:sz w:val="20"/>
                <w:szCs w:val="20"/>
                <w:lang w:val="en-ZA" w:eastAsia="en-ZA"/>
              </w:rPr>
              <w:t xml:space="preserve"> irregular month to month contracts;</w:t>
            </w:r>
          </w:p>
          <w:p w14:paraId="253C7CD6" w14:textId="1BA1CE03" w:rsidR="00A8339A" w:rsidRPr="00B21D4A" w:rsidRDefault="00612BC4">
            <w:pPr>
              <w:spacing w:before="120" w:after="120"/>
              <w:rPr>
                <w:rFonts w:asciiTheme="minorHAnsi" w:hAnsiTheme="minorHAnsi" w:cstheme="minorHAnsi"/>
                <w:sz w:val="20"/>
                <w:szCs w:val="20"/>
                <w:lang w:val="en-US" w:eastAsia="en-ZA"/>
              </w:rPr>
            </w:pPr>
            <w:r w:rsidRPr="00B21D4A">
              <w:rPr>
                <w:rFonts w:asciiTheme="minorHAnsi" w:hAnsiTheme="minorHAnsi" w:cstheme="minorHAnsi"/>
                <w:sz w:val="20"/>
                <w:szCs w:val="20"/>
                <w:lang w:val="en-US" w:eastAsia="en-ZA"/>
              </w:rPr>
              <w:t xml:space="preserve">Contract </w:t>
            </w:r>
            <w:r w:rsidR="00A8339A" w:rsidRPr="00B21D4A">
              <w:rPr>
                <w:rFonts w:asciiTheme="minorHAnsi" w:hAnsiTheme="minorHAnsi" w:cstheme="minorHAnsi"/>
                <w:sz w:val="20"/>
                <w:szCs w:val="20"/>
                <w:lang w:val="en-US" w:eastAsia="en-ZA"/>
              </w:rPr>
              <w:t>irregularities and compliance matters</w:t>
            </w:r>
            <w:r w:rsidRPr="00B21D4A">
              <w:rPr>
                <w:rFonts w:asciiTheme="minorHAnsi" w:hAnsiTheme="minorHAnsi" w:cstheme="minorHAnsi"/>
                <w:sz w:val="20"/>
                <w:szCs w:val="20"/>
                <w:lang w:val="en-US" w:eastAsia="en-ZA"/>
              </w:rPr>
              <w:t>;</w:t>
            </w:r>
            <w:r w:rsidR="00B21D4A" w:rsidRPr="00B21D4A">
              <w:rPr>
                <w:rFonts w:asciiTheme="minorHAnsi" w:hAnsiTheme="minorHAnsi" w:cstheme="minorHAnsi"/>
                <w:sz w:val="20"/>
                <w:szCs w:val="20"/>
                <w:lang w:val="en-US" w:eastAsia="en-ZA"/>
              </w:rPr>
              <w:t xml:space="preserve"> and</w:t>
            </w:r>
          </w:p>
          <w:p w14:paraId="74A22986" w14:textId="4E3FC715" w:rsidR="005A6DBB" w:rsidRPr="00B21D4A" w:rsidRDefault="00B21D4A" w:rsidP="00B21D4A">
            <w:pPr>
              <w:spacing w:before="120" w:after="120"/>
              <w:rPr>
                <w:rFonts w:asciiTheme="minorHAnsi" w:hAnsiTheme="minorHAnsi" w:cstheme="minorHAnsi"/>
                <w:sz w:val="20"/>
                <w:szCs w:val="20"/>
                <w:lang w:val="en-US" w:eastAsia="en-ZA"/>
              </w:rPr>
            </w:pPr>
            <w:r w:rsidRPr="00B21D4A">
              <w:rPr>
                <w:rFonts w:asciiTheme="minorHAnsi" w:hAnsiTheme="minorHAnsi" w:cstheme="minorHAnsi"/>
                <w:sz w:val="20"/>
                <w:szCs w:val="20"/>
                <w:lang w:val="en-ZA" w:eastAsia="en-ZA"/>
              </w:rPr>
              <w:t>If Council approve a contract management framework or policy.</w:t>
            </w:r>
          </w:p>
        </w:tc>
        <w:tc>
          <w:tcPr>
            <w:tcW w:w="3507" w:type="dxa"/>
            <w:shd w:val="clear" w:color="auto" w:fill="BED3E4"/>
          </w:tcPr>
          <w:p w14:paraId="0C1FE5F4"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Contract Management Committee is no longer sitting.</w:t>
            </w:r>
          </w:p>
          <w:p w14:paraId="3EC58740"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synergy between legal and SCM.</w:t>
            </w:r>
          </w:p>
          <w:p w14:paraId="3AE27246"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online system to deal with contracts or document management system.</w:t>
            </w:r>
          </w:p>
          <w:p w14:paraId="1C46C0F9"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value for money assessments.</w:t>
            </w:r>
          </w:p>
          <w:p w14:paraId="6165C641"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Poor contract management and officials appointed in posts without qualifications.</w:t>
            </w:r>
          </w:p>
          <w:p w14:paraId="1873957D"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Lack of an effective contract management system.</w:t>
            </w:r>
          </w:p>
          <w:p w14:paraId="253AA924" w14:textId="77777777" w:rsidR="005A6DBB" w:rsidRDefault="005A6DBB">
            <w:pPr>
              <w:rPr>
                <w:rFonts w:asciiTheme="minorHAnsi" w:hAnsiTheme="minorHAnsi" w:cstheme="minorHAnsi"/>
                <w:sz w:val="20"/>
                <w:szCs w:val="20"/>
                <w:lang w:val="en-US" w:eastAsia="en-ZA"/>
              </w:rPr>
            </w:pPr>
          </w:p>
        </w:tc>
        <w:tc>
          <w:tcPr>
            <w:tcW w:w="3508" w:type="dxa"/>
            <w:shd w:val="clear" w:color="auto" w:fill="BED3E4"/>
          </w:tcPr>
          <w:p w14:paraId="56777D8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Revive the sitting of the Contract Management Committee.</w:t>
            </w:r>
          </w:p>
          <w:p w14:paraId="41188242"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Consider re-locating this function to SCM.</w:t>
            </w:r>
          </w:p>
          <w:p w14:paraId="6449F75D"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Establish an online document management system.</w:t>
            </w:r>
          </w:p>
          <w:p w14:paraId="04A39F61"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Invite National Treasury and/or Provincial Treasury to conduct workshop on contract management.</w:t>
            </w:r>
          </w:p>
          <w:p w14:paraId="1425F1A1"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Review existing contracts against the organisational structure to determine duplication of services.</w:t>
            </w:r>
          </w:p>
          <w:p w14:paraId="0EB37978"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Investigate the validity of unsigned contracts.</w:t>
            </w:r>
          </w:p>
          <w:p w14:paraId="1647AB1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Evergreen contracts to be investigated and reviewed for an open and transparent procurement process to be undertaken.</w:t>
            </w:r>
          </w:p>
          <w:p w14:paraId="567C4C0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Compliance with MFMA section 116 reporting. </w:t>
            </w:r>
          </w:p>
        </w:tc>
      </w:tr>
      <w:tr w:rsidR="005A6DBB" w14:paraId="27946E06" w14:textId="77777777">
        <w:trPr>
          <w:trHeight w:val="300"/>
        </w:trPr>
        <w:tc>
          <w:tcPr>
            <w:tcW w:w="3507" w:type="dxa"/>
            <w:shd w:val="clear" w:color="auto" w:fill="BED3E4"/>
          </w:tcPr>
          <w:p w14:paraId="069CF304"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System of Delegations</w:t>
            </w:r>
          </w:p>
        </w:tc>
        <w:tc>
          <w:tcPr>
            <w:tcW w:w="3507" w:type="dxa"/>
            <w:shd w:val="clear" w:color="auto" w:fill="BED3E4"/>
          </w:tcPr>
          <w:p w14:paraId="4E23943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system of delegations is outdated and in certain areas not in line with local government recent legislative amendments.</w:t>
            </w:r>
          </w:p>
          <w:p w14:paraId="45FA629E" w14:textId="77777777" w:rsidR="005A6DBB"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US" w:eastAsia="en-ZA"/>
              </w:rPr>
              <w:t>There are no</w:t>
            </w:r>
            <w:r>
              <w:rPr>
                <w:rFonts w:asciiTheme="minorHAnsi" w:hAnsiTheme="minorHAnsi" w:cstheme="minorHAnsi"/>
                <w:sz w:val="20"/>
                <w:szCs w:val="20"/>
                <w:lang w:val="en-ZA" w:eastAsia="en-ZA"/>
              </w:rPr>
              <w:t xml:space="preserve"> updated delegation register</w:t>
            </w:r>
            <w:r>
              <w:rPr>
                <w:rFonts w:asciiTheme="minorHAnsi" w:hAnsiTheme="minorHAnsi" w:cstheme="minorHAnsi"/>
                <w:sz w:val="20"/>
                <w:szCs w:val="20"/>
                <w:lang w:val="en-US" w:eastAsia="en-ZA"/>
              </w:rPr>
              <w:t>s in place</w:t>
            </w:r>
            <w:r>
              <w:rPr>
                <w:rFonts w:asciiTheme="minorHAnsi" w:hAnsiTheme="minorHAnsi" w:cstheme="minorHAnsi"/>
                <w:sz w:val="20"/>
                <w:szCs w:val="20"/>
                <w:lang w:val="en-ZA" w:eastAsia="en-ZA"/>
              </w:rPr>
              <w:t>.</w:t>
            </w:r>
          </w:p>
          <w:p w14:paraId="31A6104E"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There</w:t>
            </w:r>
            <w:r>
              <w:rPr>
                <w:rFonts w:asciiTheme="minorHAnsi" w:hAnsiTheme="minorHAnsi" w:cstheme="minorHAnsi"/>
                <w:sz w:val="20"/>
                <w:szCs w:val="20"/>
                <w:lang w:val="en-ZA" w:eastAsia="en-ZA"/>
              </w:rPr>
              <w:t xml:space="preserve"> </w:t>
            </w:r>
            <w:r>
              <w:rPr>
                <w:rFonts w:asciiTheme="minorHAnsi" w:hAnsiTheme="minorHAnsi" w:cstheme="minorHAnsi"/>
                <w:sz w:val="20"/>
                <w:szCs w:val="20"/>
                <w:lang w:val="en-US" w:eastAsia="en-ZA"/>
              </w:rPr>
              <w:t xml:space="preserve">are no </w:t>
            </w:r>
            <w:r>
              <w:rPr>
                <w:rFonts w:asciiTheme="minorHAnsi" w:hAnsiTheme="minorHAnsi" w:cstheme="minorHAnsi"/>
                <w:sz w:val="20"/>
                <w:szCs w:val="20"/>
                <w:lang w:val="en-ZA" w:eastAsia="en-ZA"/>
              </w:rPr>
              <w:t xml:space="preserve">written and signed sub-delegations below the </w:t>
            </w:r>
            <w:r>
              <w:rPr>
                <w:rFonts w:asciiTheme="minorHAnsi" w:hAnsiTheme="minorHAnsi" w:cstheme="minorHAnsi"/>
                <w:sz w:val="20"/>
                <w:szCs w:val="20"/>
                <w:lang w:val="en-US" w:eastAsia="en-ZA"/>
              </w:rPr>
              <w:t>City</w:t>
            </w:r>
            <w:r>
              <w:rPr>
                <w:rFonts w:asciiTheme="minorHAnsi" w:hAnsiTheme="minorHAnsi" w:cstheme="minorHAnsi"/>
                <w:sz w:val="20"/>
                <w:szCs w:val="20"/>
                <w:lang w:val="en-ZA" w:eastAsia="en-ZA"/>
              </w:rPr>
              <w:t xml:space="preserve"> Manager</w:t>
            </w:r>
            <w:r>
              <w:rPr>
                <w:rFonts w:asciiTheme="minorHAnsi" w:hAnsiTheme="minorHAnsi" w:cstheme="minorHAnsi"/>
                <w:sz w:val="20"/>
                <w:szCs w:val="20"/>
                <w:lang w:val="en-US" w:eastAsia="en-ZA"/>
              </w:rPr>
              <w:t>.</w:t>
            </w:r>
          </w:p>
          <w:p w14:paraId="4ACC500F" w14:textId="77777777" w:rsidR="005A6DBB"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US" w:eastAsia="en-ZA"/>
              </w:rPr>
              <w:t>T</w:t>
            </w:r>
            <w:r>
              <w:rPr>
                <w:rFonts w:asciiTheme="minorHAnsi" w:hAnsiTheme="minorHAnsi" w:cstheme="minorHAnsi"/>
                <w:sz w:val="20"/>
                <w:szCs w:val="20"/>
                <w:lang w:val="en-ZA" w:eastAsia="en-ZA"/>
              </w:rPr>
              <w:t xml:space="preserve">he old system of delegations </w:t>
            </w:r>
            <w:r>
              <w:rPr>
                <w:rFonts w:asciiTheme="minorHAnsi" w:hAnsiTheme="minorHAnsi" w:cstheme="minorHAnsi"/>
                <w:sz w:val="20"/>
                <w:szCs w:val="20"/>
                <w:lang w:val="en-US" w:eastAsia="en-ZA"/>
              </w:rPr>
              <w:t xml:space="preserve">does not </w:t>
            </w:r>
            <w:r>
              <w:rPr>
                <w:rFonts w:asciiTheme="minorHAnsi" w:hAnsiTheme="minorHAnsi" w:cstheme="minorHAnsi"/>
                <w:sz w:val="20"/>
                <w:szCs w:val="20"/>
                <w:lang w:val="en-ZA" w:eastAsia="en-ZA"/>
              </w:rPr>
              <w:t>incorporate role clarification as required by law</w:t>
            </w:r>
            <w:r>
              <w:rPr>
                <w:rFonts w:asciiTheme="minorHAnsi" w:hAnsiTheme="minorHAnsi" w:cstheme="minorHAnsi"/>
                <w:sz w:val="20"/>
                <w:szCs w:val="20"/>
                <w:lang w:val="en-US" w:eastAsia="en-ZA"/>
              </w:rPr>
              <w:t xml:space="preserve"> and are centralised at the level of heads of departments.</w:t>
            </w:r>
          </w:p>
          <w:p w14:paraId="1B28337B" w14:textId="77777777" w:rsidR="005A6DBB"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US" w:eastAsia="en-ZA"/>
              </w:rPr>
              <w:t>T</w:t>
            </w:r>
            <w:r>
              <w:rPr>
                <w:rFonts w:asciiTheme="minorHAnsi" w:hAnsiTheme="minorHAnsi" w:cstheme="minorHAnsi"/>
                <w:sz w:val="20"/>
                <w:szCs w:val="20"/>
                <w:lang w:val="en-ZA" w:eastAsia="en-ZA"/>
              </w:rPr>
              <w:t xml:space="preserve">he </w:t>
            </w:r>
            <w:r>
              <w:rPr>
                <w:rFonts w:asciiTheme="minorHAnsi" w:hAnsiTheme="minorHAnsi" w:cstheme="minorHAnsi"/>
                <w:sz w:val="20"/>
                <w:szCs w:val="20"/>
                <w:lang w:val="en-US" w:eastAsia="en-ZA"/>
              </w:rPr>
              <w:t>City</w:t>
            </w:r>
            <w:r>
              <w:rPr>
                <w:rFonts w:asciiTheme="minorHAnsi" w:hAnsiTheme="minorHAnsi" w:cstheme="minorHAnsi"/>
                <w:sz w:val="20"/>
                <w:szCs w:val="20"/>
                <w:lang w:val="en-ZA" w:eastAsia="en-ZA"/>
              </w:rPr>
              <w:t xml:space="preserve"> Manager</w:t>
            </w:r>
            <w:r>
              <w:rPr>
                <w:rFonts w:asciiTheme="minorHAnsi" w:hAnsiTheme="minorHAnsi" w:cstheme="minorHAnsi"/>
                <w:sz w:val="20"/>
                <w:szCs w:val="20"/>
                <w:lang w:val="en-US" w:eastAsia="en-ZA"/>
              </w:rPr>
              <w:t xml:space="preserve"> did not</w:t>
            </w:r>
            <w:r>
              <w:rPr>
                <w:rFonts w:asciiTheme="minorHAnsi" w:hAnsiTheme="minorHAnsi" w:cstheme="minorHAnsi"/>
                <w:sz w:val="20"/>
                <w:szCs w:val="20"/>
                <w:lang w:val="en-ZA" w:eastAsia="en-ZA"/>
              </w:rPr>
              <w:t xml:space="preserve"> delegate the powers and functions related to supply chain management and the establishment of Bid committees in line with statutory requirements.</w:t>
            </w:r>
          </w:p>
        </w:tc>
        <w:tc>
          <w:tcPr>
            <w:tcW w:w="3507" w:type="dxa"/>
            <w:shd w:val="clear" w:color="auto" w:fill="BED3E4"/>
          </w:tcPr>
          <w:p w14:paraId="704BBBF7"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review of delegation framework has been done recently.</w:t>
            </w:r>
          </w:p>
          <w:p w14:paraId="2476DB1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Ineffective management processes as delegations are outdated.</w:t>
            </w:r>
          </w:p>
          <w:p w14:paraId="7EC075B1" w14:textId="77777777" w:rsidR="005A6DBB" w:rsidRDefault="005A6DBB">
            <w:pPr>
              <w:spacing w:before="120" w:after="120"/>
              <w:rPr>
                <w:rFonts w:asciiTheme="minorHAnsi" w:hAnsiTheme="minorHAnsi" w:cstheme="minorHAnsi"/>
                <w:sz w:val="20"/>
                <w:szCs w:val="20"/>
                <w:lang w:eastAsia="en-ZA"/>
              </w:rPr>
            </w:pPr>
          </w:p>
        </w:tc>
        <w:tc>
          <w:tcPr>
            <w:tcW w:w="3508" w:type="dxa"/>
            <w:shd w:val="clear" w:color="auto" w:fill="BED3E4"/>
          </w:tcPr>
          <w:p w14:paraId="3870142B"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Review and approve delegation framework urgently and develop delegations’ registers.</w:t>
            </w:r>
          </w:p>
          <w:p w14:paraId="3EC27BA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Sub-delegate powers and functions to Heads of directorate.</w:t>
            </w:r>
          </w:p>
          <w:p w14:paraId="460F95A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Sub-delegate further to </w:t>
            </w:r>
            <w:proofErr w:type="spellStart"/>
            <w:r>
              <w:rPr>
                <w:rFonts w:asciiTheme="minorHAnsi" w:hAnsiTheme="minorHAnsi" w:cstheme="minorHAnsi"/>
                <w:sz w:val="20"/>
                <w:szCs w:val="20"/>
                <w:lang w:val="en-US" w:eastAsia="en-ZA"/>
              </w:rPr>
              <w:t>maximise</w:t>
            </w:r>
            <w:proofErr w:type="spellEnd"/>
            <w:r>
              <w:rPr>
                <w:rFonts w:asciiTheme="minorHAnsi" w:hAnsiTheme="minorHAnsi" w:cstheme="minorHAnsi"/>
                <w:sz w:val="20"/>
                <w:szCs w:val="20"/>
                <w:lang w:val="en-US" w:eastAsia="en-ZA"/>
              </w:rPr>
              <w:t xml:space="preserve"> administrative and operational efficiencies.</w:t>
            </w:r>
          </w:p>
          <w:p w14:paraId="5EEE1B63"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Incorporate role clarification in the system of delegations as required by Systems Act.</w:t>
            </w:r>
          </w:p>
          <w:p w14:paraId="6F9D835F"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Review and approve delegations of powers and functions for implementation of supply chain management policy including the establishment of Bid committees.</w:t>
            </w:r>
          </w:p>
          <w:p w14:paraId="08C5CE9F"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val="en-US" w:eastAsia="en-ZA"/>
              </w:rPr>
              <w:t>Conduct training on the system of delegations through CoGTA, National or Provincial Treasury.</w:t>
            </w:r>
          </w:p>
        </w:tc>
      </w:tr>
      <w:tr w:rsidR="005A6DBB" w14:paraId="683CB921" w14:textId="77777777">
        <w:trPr>
          <w:trHeight w:val="300"/>
        </w:trPr>
        <w:tc>
          <w:tcPr>
            <w:tcW w:w="3507" w:type="dxa"/>
            <w:shd w:val="clear" w:color="auto" w:fill="BED3E4"/>
          </w:tcPr>
          <w:p w14:paraId="044DA1DE"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By-laws</w:t>
            </w:r>
          </w:p>
        </w:tc>
        <w:tc>
          <w:tcPr>
            <w:tcW w:w="3507" w:type="dxa"/>
            <w:shd w:val="clear" w:color="auto" w:fill="BED3E4"/>
          </w:tcPr>
          <w:p w14:paraId="3147724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Most by-laws are outdated and not recently reviewed.</w:t>
            </w:r>
          </w:p>
          <w:p w14:paraId="1CF7E337" w14:textId="77777777" w:rsidR="005A6DBB"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ZA" w:eastAsia="en-ZA"/>
              </w:rPr>
              <w:t>The promulgated of by-laws are not done and reviewed yearly and not done for 2023/24.  There is no by-law drafter in place.</w:t>
            </w:r>
          </w:p>
          <w:p w14:paraId="2C1F9D86" w14:textId="0BB40F33" w:rsidR="005A6DBB" w:rsidRPr="000D3743" w:rsidRDefault="00F9309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val="en-ZA" w:eastAsia="en-ZA"/>
              </w:rPr>
              <w:t xml:space="preserve">The Municipality </w:t>
            </w:r>
            <w:r w:rsidR="000D3743">
              <w:rPr>
                <w:rFonts w:asciiTheme="minorHAnsi" w:hAnsiTheme="minorHAnsi" w:cstheme="minorHAnsi"/>
                <w:sz w:val="20"/>
                <w:szCs w:val="20"/>
                <w:lang w:val="en-ZA" w:eastAsia="en-ZA"/>
              </w:rPr>
              <w:t xml:space="preserve">does </w:t>
            </w:r>
            <w:r w:rsidR="002F6897">
              <w:rPr>
                <w:rFonts w:asciiTheme="minorHAnsi" w:hAnsiTheme="minorHAnsi" w:cstheme="minorHAnsi"/>
                <w:sz w:val="20"/>
                <w:szCs w:val="20"/>
                <w:lang w:val="en-ZA" w:eastAsia="en-ZA"/>
              </w:rPr>
              <w:t>not have</w:t>
            </w:r>
            <w:r>
              <w:rPr>
                <w:rFonts w:asciiTheme="minorHAnsi" w:hAnsiTheme="minorHAnsi" w:cstheme="minorHAnsi"/>
                <w:sz w:val="20"/>
                <w:szCs w:val="20"/>
                <w:lang w:val="en-ZA" w:eastAsia="en-ZA"/>
              </w:rPr>
              <w:t xml:space="preserve"> a</w:t>
            </w:r>
            <w:r w:rsidR="002F6897">
              <w:rPr>
                <w:rFonts w:asciiTheme="minorHAnsi" w:hAnsiTheme="minorHAnsi" w:cstheme="minorHAnsi"/>
                <w:sz w:val="20"/>
                <w:szCs w:val="20"/>
                <w:lang w:val="en-ZA" w:eastAsia="en-ZA"/>
              </w:rPr>
              <w:t>n effective</w:t>
            </w:r>
            <w:r>
              <w:rPr>
                <w:rFonts w:asciiTheme="minorHAnsi" w:hAnsiTheme="minorHAnsi" w:cstheme="minorHAnsi"/>
                <w:sz w:val="20"/>
                <w:szCs w:val="20"/>
                <w:lang w:val="en-ZA" w:eastAsia="en-ZA"/>
              </w:rPr>
              <w:t xml:space="preserve"> reporting structure on revenue generated from enforcement of by-laws in place.</w:t>
            </w:r>
          </w:p>
        </w:tc>
        <w:tc>
          <w:tcPr>
            <w:tcW w:w="3507" w:type="dxa"/>
            <w:shd w:val="clear" w:color="auto" w:fill="BED3E4"/>
          </w:tcPr>
          <w:p w14:paraId="53EAD5F3"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No review has been conducted.</w:t>
            </w:r>
          </w:p>
          <w:p w14:paraId="731EB4E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By-laws not respected and enforced.</w:t>
            </w:r>
          </w:p>
          <w:p w14:paraId="04369E70" w14:textId="20121B87" w:rsidR="005A6DBB" w:rsidRDefault="000C33F5">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Outdated by-laws and no by-law drafter appointed</w:t>
            </w:r>
            <w:r w:rsidR="00495D2F">
              <w:rPr>
                <w:rFonts w:asciiTheme="minorHAnsi" w:hAnsiTheme="minorHAnsi" w:cstheme="minorHAnsi"/>
                <w:sz w:val="20"/>
                <w:szCs w:val="20"/>
                <w:lang w:eastAsia="en-ZA"/>
              </w:rPr>
              <w:t>.</w:t>
            </w:r>
          </w:p>
          <w:p w14:paraId="3E68DFEA" w14:textId="77777777" w:rsidR="005A6DBB" w:rsidRDefault="005A6DBB">
            <w:pPr>
              <w:spacing w:before="120" w:after="120"/>
              <w:rPr>
                <w:rFonts w:asciiTheme="minorHAnsi" w:hAnsiTheme="minorHAnsi" w:cstheme="minorHAnsi"/>
                <w:sz w:val="20"/>
                <w:szCs w:val="20"/>
                <w:lang w:eastAsia="en-ZA"/>
              </w:rPr>
            </w:pPr>
          </w:p>
        </w:tc>
        <w:tc>
          <w:tcPr>
            <w:tcW w:w="3508" w:type="dxa"/>
            <w:shd w:val="clear" w:color="auto" w:fill="BED3E4"/>
          </w:tcPr>
          <w:p w14:paraId="3C26CB92"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Conduct a review of by-laws and ensure implementation.</w:t>
            </w:r>
          </w:p>
          <w:p w14:paraId="0E0C80E7" w14:textId="07225896" w:rsidR="00153F5B" w:rsidRDefault="00105FA9">
            <w:pPr>
              <w:spacing w:before="120" w:after="120"/>
              <w:rPr>
                <w:rFonts w:asciiTheme="minorHAnsi" w:hAnsiTheme="minorHAnsi" w:cstheme="minorHAnsi"/>
                <w:sz w:val="20"/>
                <w:szCs w:val="20"/>
                <w:lang w:val="en-ZA" w:eastAsia="en-ZA"/>
              </w:rPr>
            </w:pPr>
            <w:r>
              <w:rPr>
                <w:rFonts w:asciiTheme="minorHAnsi" w:hAnsiTheme="minorHAnsi" w:cstheme="minorHAnsi"/>
                <w:sz w:val="20"/>
                <w:szCs w:val="20"/>
                <w:lang w:eastAsia="en-ZA"/>
              </w:rPr>
              <w:t xml:space="preserve">Establish an effective reporting structure on reporting on </w:t>
            </w:r>
            <w:r w:rsidR="00445FAD">
              <w:rPr>
                <w:rFonts w:asciiTheme="minorHAnsi" w:hAnsiTheme="minorHAnsi" w:cstheme="minorHAnsi"/>
                <w:sz w:val="20"/>
                <w:szCs w:val="20"/>
                <w:lang w:val="en-ZA" w:eastAsia="en-ZA"/>
              </w:rPr>
              <w:t>revenue generated from enforcement of by-laws.</w:t>
            </w:r>
          </w:p>
          <w:p w14:paraId="5862FACF" w14:textId="4CCD9D8F" w:rsidR="00495D2F" w:rsidRDefault="00495D2F">
            <w:pPr>
              <w:spacing w:before="120" w:after="120"/>
              <w:rPr>
                <w:rFonts w:asciiTheme="minorHAnsi" w:hAnsiTheme="minorHAnsi" w:cstheme="minorHAnsi"/>
                <w:sz w:val="20"/>
                <w:szCs w:val="20"/>
                <w:lang w:eastAsia="en-ZA"/>
              </w:rPr>
            </w:pPr>
            <w:r>
              <w:rPr>
                <w:rFonts w:asciiTheme="minorHAnsi" w:hAnsiTheme="minorHAnsi" w:cstheme="minorHAnsi"/>
                <w:sz w:val="20"/>
                <w:szCs w:val="20"/>
                <w:lang w:val="en-ZA" w:eastAsia="en-ZA"/>
              </w:rPr>
              <w:t>Appointment of a by-law drafter.</w:t>
            </w:r>
          </w:p>
        </w:tc>
      </w:tr>
      <w:tr w:rsidR="005A6DBB" w14:paraId="79A9BC9C" w14:textId="77777777">
        <w:trPr>
          <w:trHeight w:val="300"/>
        </w:trPr>
        <w:tc>
          <w:tcPr>
            <w:tcW w:w="3507" w:type="dxa"/>
            <w:shd w:val="clear" w:color="auto" w:fill="BED3E4"/>
          </w:tcPr>
          <w:p w14:paraId="7C971056"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Unauthorised, Irregular and Fruitless and Wasteful Expenditure. (UIF&amp;W)</w:t>
            </w:r>
          </w:p>
        </w:tc>
        <w:tc>
          <w:tcPr>
            <w:tcW w:w="3507" w:type="dxa"/>
            <w:shd w:val="clear" w:color="auto" w:fill="BED3E4"/>
          </w:tcPr>
          <w:p w14:paraId="4A5A9BEB"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UIF&amp;W is huge and increasing.</w:t>
            </w:r>
          </w:p>
          <w:p w14:paraId="111C56C6"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cumulate balances of UIF&amp;W as at 30 June 2022 are as follows:</w:t>
            </w:r>
          </w:p>
          <w:p w14:paraId="07399996"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Unauthorised: R 5.6 Billion.</w:t>
            </w:r>
          </w:p>
          <w:p w14:paraId="47C5D70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Irregular: R 3.1 Billion.</w:t>
            </w:r>
          </w:p>
          <w:p w14:paraId="0BD7D31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Fruitless and Wasteful: R 240 Million.</w:t>
            </w:r>
          </w:p>
          <w:p w14:paraId="71CA944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There is no approved UIF&amp;W expenditure policy and reduction plan in place, but a draft policy is in place.</w:t>
            </w:r>
          </w:p>
          <w:p w14:paraId="03A7C0C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There are no section 32 investigations that have been conducted.  The analysis and identification of UIF&amp;W was outsourced but the report is not being used by the Municipality due to the irregular appointment of the service provider.</w:t>
            </w:r>
          </w:p>
          <w:p w14:paraId="559BBA0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CM is not submitting UIF&amp;W expenditure reports quarterly to the Mayor and annually to the Council for oversight as required by Regulations.</w:t>
            </w:r>
          </w:p>
        </w:tc>
        <w:tc>
          <w:tcPr>
            <w:tcW w:w="3507" w:type="dxa"/>
            <w:shd w:val="clear" w:color="auto" w:fill="BED3E4"/>
          </w:tcPr>
          <w:p w14:paraId="523D9F86"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Disregard of SCM processes.</w:t>
            </w:r>
          </w:p>
          <w:p w14:paraId="211DBBDC"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Bid committees illegally constituted.</w:t>
            </w:r>
          </w:p>
          <w:p w14:paraId="0CBCBB25"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No declaration of pecuniary interest by members.</w:t>
            </w:r>
          </w:p>
          <w:p w14:paraId="3F643436"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Political and administrative instability.</w:t>
            </w:r>
          </w:p>
          <w:p w14:paraId="0233D72F"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Lack of consequence management.</w:t>
            </w:r>
          </w:p>
          <w:p w14:paraId="19D2D834"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Lack of efficient management of reporting requirements</w:t>
            </w:r>
          </w:p>
          <w:p w14:paraId="48BD0A39" w14:textId="77777777" w:rsidR="005A6DBB" w:rsidRDefault="005A6DBB">
            <w:pPr>
              <w:spacing w:before="120" w:after="120"/>
              <w:rPr>
                <w:rFonts w:asciiTheme="minorHAnsi" w:hAnsiTheme="minorHAnsi" w:cstheme="minorHAnsi"/>
                <w:sz w:val="20"/>
                <w:szCs w:val="20"/>
                <w:lang w:eastAsia="en-ZA"/>
              </w:rPr>
            </w:pPr>
          </w:p>
        </w:tc>
        <w:tc>
          <w:tcPr>
            <w:tcW w:w="3508" w:type="dxa"/>
            <w:shd w:val="clear" w:color="auto" w:fill="BED3E4"/>
          </w:tcPr>
          <w:p w14:paraId="173E1A8E"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Adhere to SCM policy and regulations.</w:t>
            </w:r>
          </w:p>
          <w:p w14:paraId="448D7800"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MPAC must conduct investigations urgently.</w:t>
            </w:r>
          </w:p>
          <w:p w14:paraId="02417D9B"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Enforcement of consequence management.</w:t>
            </w:r>
          </w:p>
          <w:p w14:paraId="257C627A"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Training of staff regarding the SCM processes.</w:t>
            </w:r>
          </w:p>
          <w:p w14:paraId="2FDA9A85"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Draft UIF&amp;W policy to be finalised for approval by Council.</w:t>
            </w:r>
          </w:p>
          <w:p w14:paraId="7066B3A2"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A reduction plan should be developed and implemented with clear timeframes.</w:t>
            </w:r>
          </w:p>
          <w:p w14:paraId="2F064D75"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Conduct investigations on all reported allegations of financial misconduct against the officials and ensure consequence management is implemented once the Disciplinary Board has been established.</w:t>
            </w:r>
          </w:p>
          <w:p w14:paraId="1FD641DF" w14:textId="77777777" w:rsidR="005A6DBB" w:rsidRDefault="00F93099">
            <w:pPr>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Reporting on the UIF&amp;W should be included in the Municipality’s calendar for monitoring and implementation. </w:t>
            </w:r>
          </w:p>
        </w:tc>
      </w:tr>
      <w:tr w:rsidR="005A6DBB" w14:paraId="6FA55D7F" w14:textId="77777777">
        <w:trPr>
          <w:trHeight w:val="300"/>
        </w:trPr>
        <w:tc>
          <w:tcPr>
            <w:tcW w:w="3507" w:type="dxa"/>
            <w:shd w:val="clear" w:color="auto" w:fill="BED3E4"/>
          </w:tcPr>
          <w:p w14:paraId="7FB59A23"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Political Interference</w:t>
            </w:r>
          </w:p>
        </w:tc>
        <w:tc>
          <w:tcPr>
            <w:tcW w:w="3507" w:type="dxa"/>
            <w:shd w:val="clear" w:color="auto" w:fill="BED3E4"/>
          </w:tcPr>
          <w:p w14:paraId="74E73F73"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It is alleged that politicians interfere in the administration and specifically in staff appointments and procurement. There are tensions between Council and senior Management and mutual mistrust exist, whether permanent, acting or deployed officials.</w:t>
            </w:r>
          </w:p>
          <w:p w14:paraId="667A2007" w14:textId="77777777" w:rsidR="005A6DBB" w:rsidRDefault="005A6DBB">
            <w:pPr>
              <w:spacing w:before="120" w:after="120"/>
              <w:rPr>
                <w:rFonts w:asciiTheme="minorHAnsi" w:hAnsiTheme="minorHAnsi" w:cstheme="minorHAnsi"/>
                <w:sz w:val="20"/>
                <w:szCs w:val="20"/>
                <w:lang w:eastAsia="en-ZA"/>
              </w:rPr>
            </w:pPr>
          </w:p>
          <w:p w14:paraId="762B931E" w14:textId="77777777" w:rsidR="005A6DBB" w:rsidRDefault="005A6DBB">
            <w:pPr>
              <w:spacing w:before="120" w:after="120"/>
              <w:rPr>
                <w:rFonts w:asciiTheme="minorHAnsi" w:hAnsiTheme="minorHAnsi" w:cstheme="minorHAnsi"/>
                <w:sz w:val="20"/>
                <w:szCs w:val="20"/>
                <w:lang w:eastAsia="en-ZA"/>
              </w:rPr>
            </w:pPr>
          </w:p>
          <w:p w14:paraId="00B7D94B" w14:textId="77777777" w:rsidR="005A6DBB" w:rsidRDefault="005A6DBB">
            <w:pPr>
              <w:spacing w:before="120" w:after="120"/>
              <w:rPr>
                <w:rFonts w:asciiTheme="minorHAnsi" w:hAnsiTheme="minorHAnsi" w:cstheme="minorHAnsi"/>
                <w:sz w:val="20"/>
                <w:szCs w:val="20"/>
                <w:lang w:eastAsia="en-ZA"/>
              </w:rPr>
            </w:pPr>
          </w:p>
        </w:tc>
        <w:tc>
          <w:tcPr>
            <w:tcW w:w="3507" w:type="dxa"/>
            <w:shd w:val="clear" w:color="auto" w:fill="BED3E4"/>
          </w:tcPr>
          <w:p w14:paraId="2817BB3C"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It is a criminal offence for Councillors to interfere in the administration of the Municipality.  When this happens, officials delegated to perform certain functions, are overruled that will have a negative effect on service delivery.  The City Manager is the accounting officer of the Municipality, and when overruled by Council, cannot be held accountable effectively.</w:t>
            </w:r>
          </w:p>
          <w:p w14:paraId="3176ADFD" w14:textId="77777777" w:rsidR="005A6DBB" w:rsidRDefault="005A6DBB">
            <w:pPr>
              <w:spacing w:before="120" w:after="120"/>
              <w:rPr>
                <w:rFonts w:asciiTheme="minorHAnsi" w:hAnsiTheme="minorHAnsi" w:cstheme="minorHAnsi"/>
                <w:sz w:val="20"/>
                <w:szCs w:val="20"/>
                <w:lang w:val="en-US" w:eastAsia="en-ZA"/>
              </w:rPr>
            </w:pPr>
          </w:p>
        </w:tc>
        <w:tc>
          <w:tcPr>
            <w:tcW w:w="3508" w:type="dxa"/>
            <w:shd w:val="clear" w:color="auto" w:fill="BED3E4"/>
          </w:tcPr>
          <w:p w14:paraId="30FD82F0"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Accounting Officer must act on political interference, that includes instituting criminal charges against Councillors that interfere in the administration of the Municipality.</w:t>
            </w:r>
          </w:p>
          <w:p w14:paraId="0894FFFA"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Enforcement of the Code of Conduct for councillors.</w:t>
            </w:r>
          </w:p>
          <w:p w14:paraId="572CE04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These should also be escalated to the National and Provincial and respective State Institutions.</w:t>
            </w:r>
          </w:p>
        </w:tc>
      </w:tr>
      <w:tr w:rsidR="005A6DBB" w14:paraId="230BC1EF" w14:textId="77777777">
        <w:trPr>
          <w:trHeight w:val="300"/>
        </w:trPr>
        <w:tc>
          <w:tcPr>
            <w:tcW w:w="3507" w:type="dxa"/>
            <w:shd w:val="clear" w:color="auto" w:fill="BED3E4"/>
          </w:tcPr>
          <w:p w14:paraId="3600B4CB"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Service Delivery</w:t>
            </w:r>
          </w:p>
        </w:tc>
        <w:tc>
          <w:tcPr>
            <w:tcW w:w="3507" w:type="dxa"/>
            <w:shd w:val="clear" w:color="auto" w:fill="BED3E4"/>
          </w:tcPr>
          <w:p w14:paraId="542499B3"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val="en-US" w:eastAsia="en-ZA"/>
              </w:rPr>
              <w:t>Protests over water and sewerage and poor service delivery happens regularly.  The latest reported event was Municipal vehicles set alight as recent as March 2023.</w:t>
            </w:r>
          </w:p>
        </w:tc>
        <w:tc>
          <w:tcPr>
            <w:tcW w:w="3507" w:type="dxa"/>
            <w:shd w:val="clear" w:color="auto" w:fill="BED3E4"/>
          </w:tcPr>
          <w:p w14:paraId="1B294C95"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The previous instability in Council and Management affected service delivery, that led to civil unrest, vandalism, theft, etc.  </w:t>
            </w:r>
          </w:p>
          <w:p w14:paraId="1A6BC0D4" w14:textId="77777777" w:rsidR="005A6DBB" w:rsidRDefault="005A6DBB">
            <w:pPr>
              <w:spacing w:before="120" w:after="120"/>
              <w:rPr>
                <w:rFonts w:asciiTheme="minorHAnsi" w:hAnsiTheme="minorHAnsi" w:cstheme="minorHAnsi"/>
                <w:sz w:val="20"/>
                <w:szCs w:val="20"/>
                <w:lang w:eastAsia="en-ZA"/>
              </w:rPr>
            </w:pPr>
          </w:p>
        </w:tc>
        <w:tc>
          <w:tcPr>
            <w:tcW w:w="3508" w:type="dxa"/>
            <w:shd w:val="clear" w:color="auto" w:fill="BED3E4"/>
          </w:tcPr>
          <w:p w14:paraId="32D1508B"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eastAsia="en-ZA"/>
              </w:rPr>
              <w:t xml:space="preserve">The </w:t>
            </w:r>
            <w:r>
              <w:rPr>
                <w:rFonts w:asciiTheme="minorHAnsi" w:hAnsiTheme="minorHAnsi" w:cstheme="minorHAnsi"/>
                <w:sz w:val="20"/>
                <w:szCs w:val="20"/>
                <w:lang w:val="en-US" w:eastAsia="en-ZA"/>
              </w:rPr>
              <w:t xml:space="preserve">newly elected </w:t>
            </w:r>
            <w:r>
              <w:rPr>
                <w:rFonts w:asciiTheme="minorHAnsi" w:hAnsiTheme="minorHAnsi" w:cstheme="minorHAnsi"/>
                <w:sz w:val="20"/>
                <w:szCs w:val="20"/>
                <w:lang w:eastAsia="en-ZA"/>
              </w:rPr>
              <w:t xml:space="preserve">leadership </w:t>
            </w:r>
            <w:r>
              <w:rPr>
                <w:rFonts w:asciiTheme="minorHAnsi" w:hAnsiTheme="minorHAnsi" w:cstheme="minorHAnsi"/>
                <w:sz w:val="20"/>
                <w:szCs w:val="20"/>
                <w:lang w:val="en-US" w:eastAsia="en-ZA"/>
              </w:rPr>
              <w:t xml:space="preserve">has led to stability and should continue to </w:t>
            </w:r>
            <w:proofErr w:type="spellStart"/>
            <w:r>
              <w:rPr>
                <w:rFonts w:asciiTheme="minorHAnsi" w:hAnsiTheme="minorHAnsi" w:cstheme="minorHAnsi"/>
                <w:sz w:val="20"/>
                <w:szCs w:val="20"/>
                <w:lang w:val="en-US" w:eastAsia="en-ZA"/>
              </w:rPr>
              <w:t>prioritise</w:t>
            </w:r>
            <w:proofErr w:type="spellEnd"/>
            <w:r>
              <w:rPr>
                <w:rFonts w:asciiTheme="minorHAnsi" w:hAnsiTheme="minorHAnsi" w:cstheme="minorHAnsi"/>
                <w:sz w:val="20"/>
                <w:szCs w:val="20"/>
                <w:lang w:val="en-US" w:eastAsia="en-ZA"/>
              </w:rPr>
              <w:t xml:space="preserve"> service delivery.</w:t>
            </w:r>
          </w:p>
        </w:tc>
      </w:tr>
      <w:tr w:rsidR="005A6DBB" w14:paraId="0A3A59F2" w14:textId="77777777">
        <w:trPr>
          <w:trHeight w:val="300"/>
        </w:trPr>
        <w:tc>
          <w:tcPr>
            <w:tcW w:w="3507" w:type="dxa"/>
            <w:shd w:val="clear" w:color="auto" w:fill="D4E1ED"/>
          </w:tcPr>
          <w:p w14:paraId="151BB4B6"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Litigation and Legal Landscape</w:t>
            </w:r>
          </w:p>
        </w:tc>
        <w:tc>
          <w:tcPr>
            <w:tcW w:w="3507" w:type="dxa"/>
            <w:shd w:val="clear" w:color="auto" w:fill="D4E1ED"/>
          </w:tcPr>
          <w:p w14:paraId="62F05726"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legal department is not functioning optimally and seemed to fail in its function to mitigate risk to the Municipality.  It seems that the legal department is not consulted as it should that leads to poor contracting, that includes procurement, and management, high litigation instances, policies not reviewed as required, little to no consequence management for employees implicated in irregular, unauthorised and fruitless expenditure and implementation of by-laws.</w:t>
            </w:r>
          </w:p>
          <w:p w14:paraId="394C2D03"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Contingent liabilities as at 30 June 2022 was R 83.9 million.</w:t>
            </w:r>
          </w:p>
          <w:p w14:paraId="3A67AE9F"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Legal fees budgeted for 2021/22 was R 26.7 million with actual legal fees incurred at R 52.7 million.</w:t>
            </w:r>
          </w:p>
          <w:p w14:paraId="08571ECF" w14:textId="56C1A28E"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Municipality has an updated litigation register but the tracking of court matters is not efficient</w:t>
            </w:r>
            <w:r w:rsidR="00320F64">
              <w:rPr>
                <w:rFonts w:asciiTheme="minorHAnsi" w:hAnsiTheme="minorHAnsi" w:cstheme="minorHAnsi"/>
                <w:sz w:val="20"/>
                <w:szCs w:val="20"/>
                <w:lang w:val="en-US" w:eastAsia="en-ZA"/>
              </w:rPr>
              <w:t xml:space="preserve">, and financial </w:t>
            </w:r>
            <w:r w:rsidR="00C61350">
              <w:rPr>
                <w:rFonts w:asciiTheme="minorHAnsi" w:hAnsiTheme="minorHAnsi" w:cstheme="minorHAnsi"/>
                <w:sz w:val="20"/>
                <w:szCs w:val="20"/>
                <w:lang w:val="en-US" w:eastAsia="en-ZA"/>
              </w:rPr>
              <w:t>implications of court orders could not be established</w:t>
            </w:r>
            <w:r>
              <w:rPr>
                <w:rFonts w:asciiTheme="minorHAnsi" w:hAnsiTheme="minorHAnsi" w:cstheme="minorHAnsi"/>
                <w:sz w:val="20"/>
                <w:szCs w:val="20"/>
                <w:lang w:val="en-US" w:eastAsia="en-ZA"/>
              </w:rPr>
              <w:t>.</w:t>
            </w:r>
          </w:p>
          <w:p w14:paraId="1145AB7E"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Municipality has legal support protocols in the form of standard operating procedures.  However, there is no adequate capacity to provide adequate legal support.</w:t>
            </w:r>
          </w:p>
          <w:p w14:paraId="38D0AE68"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The Municipality has a legitimate appointed panel of attorneys procured through an open tender process which ends in March 2024.  However, they have taken the Municipality to court due to non-payment.</w:t>
            </w:r>
          </w:p>
        </w:tc>
        <w:tc>
          <w:tcPr>
            <w:tcW w:w="3507" w:type="dxa"/>
            <w:shd w:val="clear" w:color="auto" w:fill="D4E1ED"/>
          </w:tcPr>
          <w:p w14:paraId="38BF9703"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The legal department must be properly capacitated to function effectively.  </w:t>
            </w:r>
          </w:p>
          <w:p w14:paraId="29110FA7"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Senior management must ensure that legal is consulted to identify and mitigate risks to the Municipality.  It is evident that this is not happening as evidenced by the numerous legal actions against the Municipality and service delivery protests.</w:t>
            </w:r>
          </w:p>
          <w:p w14:paraId="0E92510A"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Poor contract management has led to high number of litigations from service providers due to the flawed procurement process, non-payment of service providers, political instability and </w:t>
            </w:r>
            <w:proofErr w:type="spellStart"/>
            <w:r>
              <w:rPr>
                <w:rFonts w:asciiTheme="minorHAnsi" w:hAnsiTheme="minorHAnsi" w:cstheme="minorHAnsi"/>
                <w:sz w:val="20"/>
                <w:szCs w:val="20"/>
                <w:lang w:val="en-US" w:eastAsia="en-ZA"/>
              </w:rPr>
              <w:t>politicised</w:t>
            </w:r>
            <w:proofErr w:type="spellEnd"/>
            <w:r>
              <w:rPr>
                <w:rFonts w:asciiTheme="minorHAnsi" w:hAnsiTheme="minorHAnsi" w:cstheme="minorHAnsi"/>
                <w:sz w:val="20"/>
                <w:szCs w:val="20"/>
                <w:lang w:val="en-US" w:eastAsia="en-ZA"/>
              </w:rPr>
              <w:t xml:space="preserve"> administration that leads to litigations.</w:t>
            </w:r>
          </w:p>
          <w:p w14:paraId="1E3B982B"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Legal Services organisational structure not in line with the functional needs of the municipality.</w:t>
            </w:r>
          </w:p>
          <w:p w14:paraId="6F49718D"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Poor contract management and budgeting for legal costs has led to non-payment.</w:t>
            </w:r>
          </w:p>
        </w:tc>
        <w:tc>
          <w:tcPr>
            <w:tcW w:w="3508" w:type="dxa"/>
            <w:shd w:val="clear" w:color="auto" w:fill="D4E1ED"/>
          </w:tcPr>
          <w:p w14:paraId="6F961672"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 xml:space="preserve">Senior management needs to ensure that the legal department is properly staffed </w:t>
            </w:r>
            <w:r>
              <w:rPr>
                <w:rFonts w:asciiTheme="minorHAnsi" w:hAnsiTheme="minorHAnsi" w:cstheme="minorHAnsi"/>
                <w:sz w:val="20"/>
                <w:szCs w:val="20"/>
                <w:lang w:val="en-US" w:eastAsia="en-ZA"/>
              </w:rPr>
              <w:t>and</w:t>
            </w:r>
            <w:r>
              <w:rPr>
                <w:rFonts w:asciiTheme="minorHAnsi" w:hAnsiTheme="minorHAnsi" w:cstheme="minorHAnsi"/>
                <w:sz w:val="20"/>
                <w:szCs w:val="20"/>
                <w:lang w:eastAsia="en-ZA"/>
              </w:rPr>
              <w:t xml:space="preserve"> that legal is involved timeously in contracting (procurement). </w:t>
            </w:r>
          </w:p>
          <w:p w14:paraId="6BE806B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 process must be written and implemented where actions and legal threats against the Municipality is assessed to make the decision to defend or settle matters.</w:t>
            </w:r>
          </w:p>
          <w:p w14:paraId="3F56FC64"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Certain legal matters should be escalated to National Institutions (Hawks) for assistance.</w:t>
            </w:r>
          </w:p>
          <w:p w14:paraId="071D54AF"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Review legal Services organisational structure to ensure appropriate provision of posts for effective legal support.</w:t>
            </w:r>
          </w:p>
          <w:p w14:paraId="0B467493"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Budget for litigation/legal costs should be reviewed in line with municipality’s operational needs.</w:t>
            </w:r>
          </w:p>
          <w:p w14:paraId="28F2EB51"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Terms of reference for the new term of panel of attorneys should be developed for urgent advertising for procurement.</w:t>
            </w:r>
          </w:p>
        </w:tc>
      </w:tr>
      <w:tr w:rsidR="005A6DBB" w14:paraId="6C693A01" w14:textId="77777777">
        <w:trPr>
          <w:trHeight w:val="300"/>
        </w:trPr>
        <w:tc>
          <w:tcPr>
            <w:tcW w:w="3507" w:type="dxa"/>
            <w:shd w:val="clear" w:color="auto" w:fill="D4E1ED"/>
          </w:tcPr>
          <w:p w14:paraId="7B995261" w14:textId="77777777" w:rsidR="005A6DBB" w:rsidRDefault="00F93099">
            <w:pPr>
              <w:spacing w:before="120" w:after="120"/>
              <w:rPr>
                <w:rFonts w:asciiTheme="minorHAnsi" w:hAnsiTheme="minorHAnsi" w:cstheme="minorHAnsi"/>
                <w:b/>
                <w:bCs/>
                <w:sz w:val="20"/>
                <w:szCs w:val="20"/>
                <w:lang w:eastAsia="en-ZA"/>
              </w:rPr>
            </w:pPr>
            <w:r>
              <w:rPr>
                <w:rFonts w:asciiTheme="minorHAnsi" w:hAnsiTheme="minorHAnsi" w:cstheme="minorHAnsi"/>
                <w:b/>
                <w:bCs/>
                <w:sz w:val="20"/>
                <w:szCs w:val="20"/>
                <w:lang w:eastAsia="en-ZA"/>
              </w:rPr>
              <w:t>ICT Strategy and Governance</w:t>
            </w:r>
          </w:p>
        </w:tc>
        <w:tc>
          <w:tcPr>
            <w:tcW w:w="3507" w:type="dxa"/>
            <w:shd w:val="clear" w:color="auto" w:fill="D4E1ED"/>
          </w:tcPr>
          <w:p w14:paraId="43FA5FA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ICT department has had instability and lack of leadership as there has been no Chief Technology Officer (CTO) since 2019 and no permanent managers since 2011. </w:t>
            </w:r>
          </w:p>
          <w:p w14:paraId="773472CA"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 xml:space="preserve">There is therefore no ICT strategy or </w:t>
            </w:r>
            <w:proofErr w:type="spellStart"/>
            <w:r>
              <w:rPr>
                <w:rFonts w:asciiTheme="minorHAnsi" w:hAnsiTheme="minorHAnsi" w:cstheme="minorHAnsi"/>
                <w:sz w:val="20"/>
                <w:szCs w:val="20"/>
                <w:lang w:val="en-US" w:eastAsia="en-ZA"/>
              </w:rPr>
              <w:t>centralisation</w:t>
            </w:r>
            <w:proofErr w:type="spellEnd"/>
            <w:r>
              <w:rPr>
                <w:rFonts w:asciiTheme="minorHAnsi" w:hAnsiTheme="minorHAnsi" w:cstheme="minorHAnsi"/>
                <w:sz w:val="20"/>
                <w:szCs w:val="20"/>
                <w:lang w:val="en-US" w:eastAsia="en-ZA"/>
              </w:rPr>
              <w:t xml:space="preserve"> and oversight of ICT. </w:t>
            </w:r>
          </w:p>
          <w:p w14:paraId="3224A984" w14:textId="77777777" w:rsidR="005A6DBB" w:rsidRDefault="00F93099">
            <w:pPr>
              <w:spacing w:before="120" w:after="120"/>
              <w:rPr>
                <w:rFonts w:asciiTheme="minorHAnsi" w:hAnsiTheme="minorHAnsi" w:cstheme="minorHAnsi"/>
                <w:sz w:val="20"/>
                <w:szCs w:val="20"/>
                <w:lang w:val="en-US" w:eastAsia="en-ZA"/>
              </w:rPr>
            </w:pPr>
            <w:r>
              <w:rPr>
                <w:rFonts w:asciiTheme="minorHAnsi" w:hAnsiTheme="minorHAnsi" w:cstheme="minorHAnsi"/>
                <w:sz w:val="20"/>
                <w:szCs w:val="20"/>
                <w:lang w:val="en-US" w:eastAsia="en-ZA"/>
              </w:rPr>
              <w:t>As a result, key systems are not in place such as document management system, contract management system and time and attendance.</w:t>
            </w:r>
          </w:p>
          <w:p w14:paraId="438809C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In addition to the above, the Municipality does not have a list of licences and software currently in place and are paying for licences that are not being utilised as indicated by their excessive software license fees of R 21.7 million during the 2021/22 financial year.</w:t>
            </w:r>
          </w:p>
          <w:p w14:paraId="0C1B4CE4"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val="en-US" w:eastAsia="en-ZA"/>
              </w:rPr>
              <w:t>The internal audit department does not have the resources and skills to carry out ICT audits.</w:t>
            </w:r>
            <w:r>
              <w:rPr>
                <w:rFonts w:asciiTheme="minorHAnsi" w:hAnsiTheme="minorHAnsi" w:cstheme="minorHAnsi"/>
                <w:sz w:val="20"/>
                <w:szCs w:val="20"/>
                <w:lang w:eastAsia="en-ZA"/>
              </w:rPr>
              <w:t xml:space="preserve"> </w:t>
            </w:r>
          </w:p>
        </w:tc>
        <w:tc>
          <w:tcPr>
            <w:tcW w:w="3507" w:type="dxa"/>
            <w:shd w:val="clear" w:color="auto" w:fill="D4E1ED"/>
          </w:tcPr>
          <w:p w14:paraId="0E617DAE"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Technology has become an imperative to support organisational efficiency, effectiveness and ultimately sustainability.</w:t>
            </w:r>
          </w:p>
          <w:p w14:paraId="4D1F2E30"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An integrated strategy that addresses organisational requirements and security will support all departments to operate more effectively as well as limit audit findings.</w:t>
            </w:r>
          </w:p>
          <w:p w14:paraId="403BC732" w14:textId="77777777" w:rsidR="005A6DBB" w:rsidRDefault="005A6DBB">
            <w:pPr>
              <w:spacing w:before="120" w:after="120"/>
              <w:rPr>
                <w:rFonts w:asciiTheme="minorHAnsi" w:hAnsiTheme="minorHAnsi" w:cstheme="minorHAnsi"/>
                <w:sz w:val="20"/>
                <w:szCs w:val="20"/>
                <w:lang w:eastAsia="en-ZA"/>
              </w:rPr>
            </w:pPr>
          </w:p>
        </w:tc>
        <w:tc>
          <w:tcPr>
            <w:tcW w:w="3508" w:type="dxa"/>
            <w:shd w:val="clear" w:color="auto" w:fill="D4E1ED"/>
          </w:tcPr>
          <w:p w14:paraId="5055A83F" w14:textId="77777777" w:rsidR="005A6DBB" w:rsidRDefault="00F93099">
            <w:pPr>
              <w:keepNext/>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Centralise ICT function with a defined strategy and mandate to support the Municipality’s requirements and strategic imperatives.</w:t>
            </w:r>
          </w:p>
          <w:p w14:paraId="012465FD" w14:textId="77777777" w:rsidR="005A6DBB" w:rsidRDefault="00F93099">
            <w:pPr>
              <w:keepNext/>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Develop and implement a clearly defined and resourced ICT Plan.</w:t>
            </w:r>
          </w:p>
        </w:tc>
      </w:tr>
      <w:tr w:rsidR="005A6DBB" w14:paraId="09FB2327" w14:textId="77777777">
        <w:trPr>
          <w:trHeight w:val="300"/>
        </w:trPr>
        <w:tc>
          <w:tcPr>
            <w:tcW w:w="3507" w:type="dxa"/>
            <w:shd w:val="clear" w:color="auto" w:fill="D4E1ED"/>
          </w:tcPr>
          <w:p w14:paraId="1BE320D1" w14:textId="77777777" w:rsidR="005A6DBB" w:rsidRPr="00C2447D" w:rsidRDefault="00F93099">
            <w:pPr>
              <w:spacing w:before="120" w:after="120"/>
              <w:rPr>
                <w:rFonts w:asciiTheme="minorHAnsi" w:hAnsiTheme="minorHAnsi" w:cstheme="minorHAnsi"/>
                <w:b/>
                <w:bCs/>
                <w:sz w:val="20"/>
                <w:szCs w:val="20"/>
                <w:lang w:eastAsia="en-ZA"/>
              </w:rPr>
            </w:pPr>
            <w:r w:rsidRPr="00C2447D">
              <w:rPr>
                <w:rFonts w:asciiTheme="minorHAnsi" w:hAnsiTheme="minorHAnsi" w:cstheme="minorHAnsi"/>
                <w:b/>
                <w:bCs/>
                <w:sz w:val="20"/>
                <w:szCs w:val="20"/>
                <w:lang w:eastAsia="en-ZA"/>
              </w:rPr>
              <w:t>Immovable Property management</w:t>
            </w:r>
          </w:p>
        </w:tc>
        <w:tc>
          <w:tcPr>
            <w:tcW w:w="3507" w:type="dxa"/>
            <w:shd w:val="clear" w:color="auto" w:fill="D4E1ED"/>
          </w:tcPr>
          <w:p w14:paraId="736EB8E1" w14:textId="60D17AA6" w:rsidR="005A6DBB" w:rsidRPr="00C2447D" w:rsidRDefault="00F93099">
            <w:pPr>
              <w:spacing w:before="120" w:after="120"/>
              <w:rPr>
                <w:rFonts w:asciiTheme="minorHAnsi" w:hAnsiTheme="minorHAnsi" w:cstheme="minorHAnsi"/>
                <w:sz w:val="20"/>
                <w:szCs w:val="20"/>
                <w:lang w:val="en-US" w:eastAsia="en-ZA"/>
              </w:rPr>
            </w:pPr>
            <w:r w:rsidRPr="00C2447D">
              <w:rPr>
                <w:rFonts w:asciiTheme="minorHAnsi" w:hAnsiTheme="minorHAnsi" w:cstheme="minorHAnsi"/>
                <w:sz w:val="20"/>
                <w:szCs w:val="20"/>
                <w:lang w:val="en-US" w:eastAsia="en-ZA"/>
              </w:rPr>
              <w:t xml:space="preserve">The </w:t>
            </w:r>
            <w:r w:rsidR="000924FF" w:rsidRPr="00C2447D">
              <w:rPr>
                <w:rFonts w:asciiTheme="minorHAnsi" w:hAnsiTheme="minorHAnsi" w:cstheme="minorHAnsi"/>
                <w:sz w:val="20"/>
                <w:szCs w:val="20"/>
                <w:lang w:val="en-US" w:eastAsia="en-ZA"/>
              </w:rPr>
              <w:t>M</w:t>
            </w:r>
            <w:r w:rsidRPr="00C2447D">
              <w:rPr>
                <w:rFonts w:asciiTheme="minorHAnsi" w:hAnsiTheme="minorHAnsi" w:cstheme="minorHAnsi"/>
                <w:sz w:val="20"/>
                <w:szCs w:val="20"/>
                <w:lang w:val="en-US" w:eastAsia="en-ZA"/>
              </w:rPr>
              <w:t>unicipality has an approved land alienation policy.</w:t>
            </w:r>
            <w:r w:rsidR="000924FF" w:rsidRPr="00C2447D">
              <w:rPr>
                <w:rFonts w:asciiTheme="minorHAnsi" w:hAnsiTheme="minorHAnsi" w:cstheme="minorHAnsi"/>
                <w:sz w:val="20"/>
                <w:szCs w:val="20"/>
                <w:lang w:val="en-US" w:eastAsia="en-ZA"/>
              </w:rPr>
              <w:t xml:space="preserve"> </w:t>
            </w:r>
            <w:r w:rsidRPr="00C2447D">
              <w:rPr>
                <w:rFonts w:asciiTheme="minorHAnsi" w:hAnsiTheme="minorHAnsi" w:cstheme="minorHAnsi"/>
                <w:sz w:val="20"/>
                <w:szCs w:val="20"/>
                <w:lang w:val="en-US" w:eastAsia="en-ZA"/>
              </w:rPr>
              <w:t xml:space="preserve"> However, most lease agreements are not updated as most leases are now on</w:t>
            </w:r>
            <w:r w:rsidR="000924FF" w:rsidRPr="00C2447D">
              <w:rPr>
                <w:rFonts w:asciiTheme="minorHAnsi" w:hAnsiTheme="minorHAnsi" w:cstheme="minorHAnsi"/>
                <w:sz w:val="20"/>
                <w:szCs w:val="20"/>
                <w:lang w:val="en-US" w:eastAsia="en-ZA"/>
              </w:rPr>
              <w:t xml:space="preserve"> a</w:t>
            </w:r>
            <w:r w:rsidRPr="00C2447D">
              <w:rPr>
                <w:rFonts w:asciiTheme="minorHAnsi" w:hAnsiTheme="minorHAnsi" w:cstheme="minorHAnsi"/>
                <w:sz w:val="20"/>
                <w:szCs w:val="20"/>
                <w:lang w:val="en-US" w:eastAsia="en-ZA"/>
              </w:rPr>
              <w:t xml:space="preserve"> month-to-month basis. </w:t>
            </w:r>
            <w:r w:rsidR="000924FF" w:rsidRPr="00C2447D">
              <w:rPr>
                <w:rFonts w:asciiTheme="minorHAnsi" w:hAnsiTheme="minorHAnsi" w:cstheme="minorHAnsi"/>
                <w:sz w:val="20"/>
                <w:szCs w:val="20"/>
                <w:lang w:val="en-US" w:eastAsia="en-ZA"/>
              </w:rPr>
              <w:t xml:space="preserve"> </w:t>
            </w:r>
            <w:r w:rsidRPr="00C2447D">
              <w:rPr>
                <w:rFonts w:asciiTheme="minorHAnsi" w:hAnsiTheme="minorHAnsi" w:cstheme="minorHAnsi"/>
                <w:sz w:val="20"/>
                <w:szCs w:val="20"/>
                <w:lang w:val="en-US" w:eastAsia="en-ZA"/>
              </w:rPr>
              <w:t xml:space="preserve">The </w:t>
            </w:r>
            <w:r w:rsidR="000924FF" w:rsidRPr="00C2447D">
              <w:rPr>
                <w:rFonts w:asciiTheme="minorHAnsi" w:hAnsiTheme="minorHAnsi" w:cstheme="minorHAnsi"/>
                <w:sz w:val="20"/>
                <w:szCs w:val="20"/>
                <w:lang w:val="en-US" w:eastAsia="en-ZA"/>
              </w:rPr>
              <w:t>M</w:t>
            </w:r>
            <w:r w:rsidRPr="00C2447D">
              <w:rPr>
                <w:rFonts w:asciiTheme="minorHAnsi" w:hAnsiTheme="minorHAnsi" w:cstheme="minorHAnsi"/>
                <w:sz w:val="20"/>
                <w:szCs w:val="20"/>
                <w:lang w:val="en-US" w:eastAsia="en-ZA"/>
              </w:rPr>
              <w:t xml:space="preserve">unicipality collects market related rentals from Council leased property based on private property valuations. </w:t>
            </w:r>
          </w:p>
        </w:tc>
        <w:tc>
          <w:tcPr>
            <w:tcW w:w="3507" w:type="dxa"/>
            <w:shd w:val="clear" w:color="auto" w:fill="D4E1ED"/>
          </w:tcPr>
          <w:p w14:paraId="79B79076" w14:textId="10F489B4" w:rsidR="005A6DBB" w:rsidRPr="00C2447D" w:rsidRDefault="00F93099">
            <w:pPr>
              <w:spacing w:before="120" w:after="120"/>
              <w:rPr>
                <w:rFonts w:asciiTheme="minorHAnsi" w:hAnsiTheme="minorHAnsi" w:cstheme="minorHAnsi"/>
                <w:sz w:val="20"/>
                <w:szCs w:val="20"/>
                <w:lang w:val="en-US" w:eastAsia="en-ZA"/>
              </w:rPr>
            </w:pPr>
            <w:r w:rsidRPr="00C2447D">
              <w:rPr>
                <w:rFonts w:asciiTheme="minorHAnsi" w:hAnsiTheme="minorHAnsi" w:cstheme="minorHAnsi"/>
                <w:sz w:val="20"/>
                <w:szCs w:val="20"/>
                <w:lang w:val="en-US" w:eastAsia="en-ZA"/>
              </w:rPr>
              <w:t>Lack of lease management</w:t>
            </w:r>
            <w:r w:rsidR="00B978A8">
              <w:rPr>
                <w:rFonts w:asciiTheme="minorHAnsi" w:hAnsiTheme="minorHAnsi" w:cstheme="minorHAnsi"/>
                <w:sz w:val="20"/>
                <w:szCs w:val="20"/>
                <w:lang w:val="en-US" w:eastAsia="en-ZA"/>
              </w:rPr>
              <w:t>.</w:t>
            </w:r>
          </w:p>
        </w:tc>
        <w:tc>
          <w:tcPr>
            <w:tcW w:w="3508" w:type="dxa"/>
            <w:shd w:val="clear" w:color="auto" w:fill="D4E1ED"/>
          </w:tcPr>
          <w:p w14:paraId="122E0178" w14:textId="77777777" w:rsidR="005A6DBB" w:rsidRPr="00C2447D" w:rsidRDefault="00F93099">
            <w:pPr>
              <w:keepNext/>
              <w:spacing w:before="120" w:after="120"/>
              <w:rPr>
                <w:rFonts w:asciiTheme="minorHAnsi" w:hAnsiTheme="minorHAnsi" w:cstheme="minorHAnsi"/>
                <w:sz w:val="20"/>
                <w:szCs w:val="20"/>
                <w:lang w:val="en-US" w:eastAsia="en-ZA"/>
              </w:rPr>
            </w:pPr>
            <w:r w:rsidRPr="00C2447D">
              <w:rPr>
                <w:rFonts w:asciiTheme="minorHAnsi" w:hAnsiTheme="minorHAnsi" w:cstheme="minorHAnsi"/>
                <w:sz w:val="20"/>
                <w:szCs w:val="20"/>
                <w:lang w:val="en-US" w:eastAsia="en-ZA"/>
              </w:rPr>
              <w:t>Review outdated leases for renewal.</w:t>
            </w:r>
          </w:p>
        </w:tc>
      </w:tr>
      <w:tr w:rsidR="005A6DBB" w14:paraId="5DC0BDE6" w14:textId="77777777">
        <w:trPr>
          <w:trHeight w:val="300"/>
        </w:trPr>
        <w:tc>
          <w:tcPr>
            <w:tcW w:w="3507" w:type="dxa"/>
            <w:shd w:val="clear" w:color="auto" w:fill="D4E1ED"/>
          </w:tcPr>
          <w:p w14:paraId="02803862" w14:textId="77777777" w:rsidR="005A6DBB" w:rsidRPr="00B978A8" w:rsidRDefault="00F93099">
            <w:pPr>
              <w:spacing w:before="120" w:after="120"/>
              <w:rPr>
                <w:rFonts w:asciiTheme="minorHAnsi" w:hAnsiTheme="minorHAnsi" w:cstheme="minorHAnsi"/>
                <w:b/>
                <w:bCs/>
                <w:sz w:val="20"/>
                <w:szCs w:val="20"/>
                <w:lang w:val="en-US" w:eastAsia="en-ZA"/>
              </w:rPr>
            </w:pPr>
            <w:r w:rsidRPr="00B978A8">
              <w:rPr>
                <w:rFonts w:asciiTheme="minorHAnsi" w:hAnsiTheme="minorHAnsi" w:cstheme="minorHAnsi"/>
                <w:b/>
                <w:bCs/>
                <w:sz w:val="20"/>
                <w:szCs w:val="20"/>
                <w:lang w:val="en-US" w:eastAsia="en-ZA"/>
              </w:rPr>
              <w:t>Audit Action Plan</w:t>
            </w:r>
          </w:p>
        </w:tc>
        <w:tc>
          <w:tcPr>
            <w:tcW w:w="3507" w:type="dxa"/>
            <w:shd w:val="clear" w:color="auto" w:fill="D4E1ED"/>
          </w:tcPr>
          <w:p w14:paraId="0BFFB756" w14:textId="478D51FC" w:rsidR="005A6DBB" w:rsidRPr="00B978A8" w:rsidRDefault="00F93099">
            <w:pPr>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 xml:space="preserve">The </w:t>
            </w:r>
            <w:r w:rsidR="00907673" w:rsidRPr="00B978A8">
              <w:rPr>
                <w:rFonts w:asciiTheme="minorHAnsi" w:hAnsiTheme="minorHAnsi" w:cstheme="minorHAnsi"/>
                <w:sz w:val="20"/>
                <w:szCs w:val="20"/>
                <w:lang w:val="en-US" w:eastAsia="en-ZA"/>
              </w:rPr>
              <w:t>M</w:t>
            </w:r>
            <w:r w:rsidRPr="00B978A8">
              <w:rPr>
                <w:rFonts w:asciiTheme="minorHAnsi" w:hAnsiTheme="minorHAnsi" w:cstheme="minorHAnsi"/>
                <w:sz w:val="20"/>
                <w:szCs w:val="20"/>
                <w:lang w:val="en-US" w:eastAsia="en-ZA"/>
              </w:rPr>
              <w:t>unicipality received qualified audit outcomes for 2017/18 and 2018/19, improved to unqualified for 2019/20 and 2020/21 but regressed to qualified audit outcomes in the 2021/22</w:t>
            </w:r>
            <w:r w:rsidR="00955EB3">
              <w:rPr>
                <w:rFonts w:asciiTheme="minorHAnsi" w:hAnsiTheme="minorHAnsi" w:cstheme="minorHAnsi"/>
                <w:sz w:val="20"/>
                <w:szCs w:val="20"/>
                <w:lang w:val="en-US" w:eastAsia="en-ZA"/>
              </w:rPr>
              <w:t>.</w:t>
            </w:r>
            <w:r w:rsidR="00C74D43">
              <w:rPr>
                <w:rFonts w:asciiTheme="minorHAnsi" w:hAnsiTheme="minorHAnsi" w:cstheme="minorHAnsi"/>
                <w:sz w:val="20"/>
                <w:szCs w:val="20"/>
                <w:lang w:val="en-US" w:eastAsia="en-ZA"/>
              </w:rPr>
              <w:t xml:space="preserve"> The</w:t>
            </w:r>
            <w:r w:rsidRPr="00B978A8">
              <w:rPr>
                <w:rFonts w:asciiTheme="minorHAnsi" w:hAnsiTheme="minorHAnsi" w:cstheme="minorHAnsi"/>
                <w:sz w:val="20"/>
                <w:szCs w:val="20"/>
                <w:lang w:val="en-US" w:eastAsia="en-ZA"/>
              </w:rPr>
              <w:t xml:space="preserve"> past five financial years </w:t>
            </w:r>
            <w:r w:rsidR="00C74D43">
              <w:rPr>
                <w:rFonts w:asciiTheme="minorHAnsi" w:hAnsiTheme="minorHAnsi" w:cstheme="minorHAnsi"/>
                <w:sz w:val="20"/>
                <w:szCs w:val="20"/>
                <w:lang w:val="en-US" w:eastAsia="en-ZA"/>
              </w:rPr>
              <w:t>show</w:t>
            </w:r>
            <w:r w:rsidRPr="00B978A8">
              <w:rPr>
                <w:rFonts w:asciiTheme="minorHAnsi" w:hAnsiTheme="minorHAnsi" w:cstheme="minorHAnsi"/>
                <w:sz w:val="20"/>
                <w:szCs w:val="20"/>
                <w:lang w:val="en-US" w:eastAsia="en-ZA"/>
              </w:rPr>
              <w:t xml:space="preserve"> stagnation in this regard. </w:t>
            </w:r>
            <w:r w:rsidR="00A6738E">
              <w:rPr>
                <w:rFonts w:asciiTheme="minorHAnsi" w:hAnsiTheme="minorHAnsi" w:cstheme="minorHAnsi"/>
                <w:sz w:val="20"/>
                <w:szCs w:val="20"/>
                <w:lang w:val="en-US" w:eastAsia="en-ZA"/>
              </w:rPr>
              <w:t xml:space="preserve"> </w:t>
            </w:r>
            <w:r w:rsidRPr="00B978A8">
              <w:rPr>
                <w:rFonts w:asciiTheme="minorHAnsi" w:hAnsiTheme="minorHAnsi" w:cstheme="minorHAnsi"/>
                <w:sz w:val="20"/>
                <w:szCs w:val="20"/>
                <w:lang w:val="en-US" w:eastAsia="en-ZA"/>
              </w:rPr>
              <w:t xml:space="preserve">The Post Audit Action plan for the previous AG outcomes has not been tabled before Council for approval. </w:t>
            </w:r>
            <w:r w:rsidR="00A6738E">
              <w:rPr>
                <w:rFonts w:asciiTheme="minorHAnsi" w:hAnsiTheme="minorHAnsi" w:cstheme="minorHAnsi"/>
                <w:sz w:val="20"/>
                <w:szCs w:val="20"/>
                <w:lang w:val="en-US" w:eastAsia="en-ZA"/>
              </w:rPr>
              <w:t xml:space="preserve"> </w:t>
            </w:r>
            <w:r w:rsidRPr="00B978A8">
              <w:rPr>
                <w:rFonts w:asciiTheme="minorHAnsi" w:hAnsiTheme="minorHAnsi" w:cstheme="minorHAnsi"/>
                <w:sz w:val="20"/>
                <w:szCs w:val="20"/>
                <w:lang w:val="en-US" w:eastAsia="en-ZA"/>
              </w:rPr>
              <w:t xml:space="preserve">The Action plan was discussed at the Mayoral Committee and EMT.  </w:t>
            </w:r>
          </w:p>
        </w:tc>
        <w:tc>
          <w:tcPr>
            <w:tcW w:w="3507" w:type="dxa"/>
            <w:shd w:val="clear" w:color="auto" w:fill="D4E1ED"/>
          </w:tcPr>
          <w:p w14:paraId="6C290667" w14:textId="77777777" w:rsidR="005A6DBB" w:rsidRPr="00B978A8" w:rsidRDefault="00F93099">
            <w:pPr>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Political and administrative instability has led to the PAAP not being tabled before Council.</w:t>
            </w:r>
          </w:p>
          <w:p w14:paraId="7CE79C09" w14:textId="77777777" w:rsidR="005A6DBB" w:rsidRPr="00B978A8" w:rsidRDefault="005A6DBB">
            <w:pPr>
              <w:spacing w:before="120" w:after="120"/>
              <w:rPr>
                <w:rFonts w:asciiTheme="minorHAnsi" w:hAnsiTheme="minorHAnsi" w:cstheme="minorHAnsi"/>
                <w:sz w:val="20"/>
                <w:szCs w:val="20"/>
                <w:lang w:val="en-US" w:eastAsia="en-ZA"/>
              </w:rPr>
            </w:pPr>
          </w:p>
        </w:tc>
        <w:tc>
          <w:tcPr>
            <w:tcW w:w="3508" w:type="dxa"/>
            <w:shd w:val="clear" w:color="auto" w:fill="D4E1ED"/>
          </w:tcPr>
          <w:p w14:paraId="5C59F549" w14:textId="77777777" w:rsidR="005A6DBB" w:rsidRPr="00B978A8" w:rsidRDefault="00F93099">
            <w:pPr>
              <w:keepNext/>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 xml:space="preserve">Management should develop and implement the post audit action plan timeously and report on progress in the Audit Steering Committee meetings. </w:t>
            </w:r>
          </w:p>
          <w:p w14:paraId="0223E0A4" w14:textId="77777777" w:rsidR="005A6DBB" w:rsidRPr="00B978A8" w:rsidRDefault="00F93099">
            <w:pPr>
              <w:keepNext/>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Internal audit should assist in the implementation and monitoring of the PAAP.</w:t>
            </w:r>
          </w:p>
          <w:p w14:paraId="356DB55E" w14:textId="77777777" w:rsidR="005A6DBB" w:rsidRPr="00B978A8" w:rsidRDefault="00F93099">
            <w:pPr>
              <w:keepNext/>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Management should urgently table the Audit Action Plan to Council and provide quarterly reports to Mayoral Committee and Council.</w:t>
            </w:r>
          </w:p>
          <w:p w14:paraId="6D3D24FC" w14:textId="639C275C" w:rsidR="005A6DBB" w:rsidRPr="00B978A8" w:rsidRDefault="00F93099">
            <w:pPr>
              <w:keepNext/>
              <w:spacing w:before="120" w:after="120"/>
              <w:rPr>
                <w:rFonts w:asciiTheme="minorHAnsi" w:hAnsiTheme="minorHAnsi" w:cstheme="minorHAnsi"/>
                <w:sz w:val="20"/>
                <w:szCs w:val="20"/>
                <w:lang w:val="en-US" w:eastAsia="en-ZA"/>
              </w:rPr>
            </w:pPr>
            <w:r w:rsidRPr="00B978A8">
              <w:rPr>
                <w:rFonts w:asciiTheme="minorHAnsi" w:hAnsiTheme="minorHAnsi" w:cstheme="minorHAnsi"/>
                <w:sz w:val="20"/>
                <w:szCs w:val="20"/>
                <w:lang w:val="en-US" w:eastAsia="en-ZA"/>
              </w:rPr>
              <w:t>PAAP implementation should be included in the Performance Agreements for Senior Manager to ensure consequence management for non-performance against the identified audit findings.</w:t>
            </w:r>
          </w:p>
        </w:tc>
      </w:tr>
      <w:tr w:rsidR="005A6DBB" w14:paraId="23AAF524" w14:textId="77777777">
        <w:trPr>
          <w:trHeight w:val="300"/>
        </w:trPr>
        <w:tc>
          <w:tcPr>
            <w:tcW w:w="3507" w:type="dxa"/>
            <w:shd w:val="clear" w:color="auto" w:fill="D4E1ED"/>
          </w:tcPr>
          <w:p w14:paraId="4641FF30" w14:textId="77777777" w:rsidR="005A6DBB" w:rsidRPr="00C920F3" w:rsidRDefault="00F93099">
            <w:pPr>
              <w:spacing w:before="120" w:after="120"/>
              <w:rPr>
                <w:rFonts w:asciiTheme="minorHAnsi" w:hAnsiTheme="minorHAnsi" w:cstheme="minorHAnsi"/>
                <w:b/>
                <w:bCs/>
                <w:sz w:val="20"/>
                <w:szCs w:val="20"/>
                <w:lang w:val="en-US" w:eastAsia="en-ZA"/>
              </w:rPr>
            </w:pPr>
            <w:r w:rsidRPr="00C920F3">
              <w:rPr>
                <w:rFonts w:asciiTheme="minorHAnsi" w:hAnsiTheme="minorHAnsi" w:cstheme="minorHAnsi"/>
                <w:b/>
                <w:bCs/>
                <w:sz w:val="20"/>
                <w:szCs w:val="20"/>
                <w:lang w:val="en-US" w:eastAsia="en-ZA"/>
              </w:rPr>
              <w:t>Risk Management</w:t>
            </w:r>
          </w:p>
        </w:tc>
        <w:tc>
          <w:tcPr>
            <w:tcW w:w="3507" w:type="dxa"/>
            <w:shd w:val="clear" w:color="auto" w:fill="D4E1ED"/>
          </w:tcPr>
          <w:p w14:paraId="6CE7BE15" w14:textId="360FD953" w:rsidR="005A6DBB" w:rsidRPr="00C920F3" w:rsidRDefault="00F93099">
            <w:pPr>
              <w:spacing w:before="120" w:after="120"/>
              <w:rPr>
                <w:rFonts w:asciiTheme="minorHAnsi" w:hAnsiTheme="minorHAnsi" w:cstheme="minorHAnsi"/>
                <w:sz w:val="20"/>
                <w:szCs w:val="20"/>
                <w:lang w:val="en-US" w:eastAsia="en-ZA"/>
              </w:rPr>
            </w:pPr>
            <w:r w:rsidRPr="00C920F3">
              <w:rPr>
                <w:rFonts w:asciiTheme="minorHAnsi" w:hAnsiTheme="minorHAnsi" w:cstheme="minorHAnsi"/>
                <w:sz w:val="20"/>
                <w:szCs w:val="20"/>
                <w:lang w:val="en-US" w:eastAsia="en-ZA"/>
              </w:rPr>
              <w:t xml:space="preserve">The </w:t>
            </w:r>
            <w:r w:rsidR="0060758D" w:rsidRPr="00C920F3">
              <w:rPr>
                <w:rFonts w:asciiTheme="minorHAnsi" w:hAnsiTheme="minorHAnsi" w:cstheme="minorHAnsi"/>
                <w:sz w:val="20"/>
                <w:szCs w:val="20"/>
                <w:lang w:val="en-US" w:eastAsia="en-ZA"/>
              </w:rPr>
              <w:t>M</w:t>
            </w:r>
            <w:r w:rsidRPr="00C920F3">
              <w:rPr>
                <w:rFonts w:asciiTheme="minorHAnsi" w:hAnsiTheme="minorHAnsi" w:cstheme="minorHAnsi"/>
                <w:sz w:val="20"/>
                <w:szCs w:val="20"/>
                <w:lang w:val="en-US" w:eastAsia="en-ZA"/>
              </w:rPr>
              <w:t xml:space="preserve">unicipality has a council approved Risk Management Policy that include the strategy and implementation plan. A new Risk </w:t>
            </w:r>
            <w:r w:rsidR="0060758D" w:rsidRPr="00C920F3">
              <w:rPr>
                <w:rFonts w:asciiTheme="minorHAnsi" w:hAnsiTheme="minorHAnsi" w:cstheme="minorHAnsi"/>
                <w:sz w:val="20"/>
                <w:szCs w:val="20"/>
                <w:lang w:val="en-US" w:eastAsia="en-ZA"/>
              </w:rPr>
              <w:t>M</w:t>
            </w:r>
            <w:r w:rsidR="00FE22C1" w:rsidRPr="00C920F3">
              <w:rPr>
                <w:rFonts w:asciiTheme="minorHAnsi" w:hAnsiTheme="minorHAnsi" w:cstheme="minorHAnsi"/>
                <w:sz w:val="20"/>
                <w:szCs w:val="20"/>
                <w:lang w:val="en-US" w:eastAsia="en-ZA"/>
              </w:rPr>
              <w:t>anagement</w:t>
            </w:r>
            <w:r w:rsidRPr="00C920F3">
              <w:rPr>
                <w:rFonts w:asciiTheme="minorHAnsi" w:hAnsiTheme="minorHAnsi" w:cstheme="minorHAnsi"/>
                <w:sz w:val="20"/>
                <w:szCs w:val="20"/>
                <w:lang w:val="en-US" w:eastAsia="en-ZA"/>
              </w:rPr>
              <w:t xml:space="preserve"> Committee was appointed in March 2023 and was inducted in June 2023. </w:t>
            </w:r>
            <w:r w:rsidR="001B1D82">
              <w:rPr>
                <w:rFonts w:asciiTheme="minorHAnsi" w:hAnsiTheme="minorHAnsi" w:cstheme="minorHAnsi"/>
                <w:sz w:val="20"/>
                <w:szCs w:val="20"/>
                <w:lang w:val="en-US" w:eastAsia="en-ZA"/>
              </w:rPr>
              <w:t xml:space="preserve"> </w:t>
            </w:r>
            <w:r w:rsidRPr="00C920F3">
              <w:rPr>
                <w:rFonts w:asciiTheme="minorHAnsi" w:hAnsiTheme="minorHAnsi" w:cstheme="minorHAnsi"/>
                <w:sz w:val="20"/>
                <w:szCs w:val="20"/>
                <w:lang w:val="en-US" w:eastAsia="en-ZA"/>
              </w:rPr>
              <w:t xml:space="preserve">The </w:t>
            </w:r>
            <w:r w:rsidR="001B1D82">
              <w:rPr>
                <w:rFonts w:asciiTheme="minorHAnsi" w:hAnsiTheme="minorHAnsi" w:cstheme="minorHAnsi"/>
                <w:sz w:val="20"/>
                <w:szCs w:val="20"/>
                <w:lang w:val="en-US" w:eastAsia="en-ZA"/>
              </w:rPr>
              <w:t>M</w:t>
            </w:r>
            <w:r w:rsidRPr="00C920F3">
              <w:rPr>
                <w:rFonts w:asciiTheme="minorHAnsi" w:hAnsiTheme="minorHAnsi" w:cstheme="minorHAnsi"/>
                <w:sz w:val="20"/>
                <w:szCs w:val="20"/>
                <w:lang w:val="en-US" w:eastAsia="en-ZA"/>
              </w:rPr>
              <w:t>unicipality has a CRO in place.</w:t>
            </w:r>
            <w:r w:rsidR="001B1D82">
              <w:rPr>
                <w:rFonts w:asciiTheme="minorHAnsi" w:hAnsiTheme="minorHAnsi" w:cstheme="minorHAnsi"/>
                <w:sz w:val="20"/>
                <w:szCs w:val="20"/>
                <w:lang w:val="en-US" w:eastAsia="en-ZA"/>
              </w:rPr>
              <w:t xml:space="preserve"> </w:t>
            </w:r>
            <w:r w:rsidRPr="00C920F3">
              <w:rPr>
                <w:rFonts w:asciiTheme="minorHAnsi" w:hAnsiTheme="minorHAnsi" w:cstheme="minorHAnsi"/>
                <w:sz w:val="20"/>
                <w:szCs w:val="20"/>
                <w:lang w:val="en-US" w:eastAsia="en-ZA"/>
              </w:rPr>
              <w:t xml:space="preserve"> However, the Municipality does not have a Business Continuity Plan</w:t>
            </w:r>
            <w:r w:rsidR="001B1D82">
              <w:rPr>
                <w:rFonts w:asciiTheme="minorHAnsi" w:hAnsiTheme="minorHAnsi" w:cstheme="minorHAnsi"/>
                <w:sz w:val="20"/>
                <w:szCs w:val="20"/>
                <w:lang w:val="en-US" w:eastAsia="en-ZA"/>
              </w:rPr>
              <w:t xml:space="preserve"> (BCP)</w:t>
            </w:r>
            <w:r w:rsidRPr="00C920F3">
              <w:rPr>
                <w:rFonts w:asciiTheme="minorHAnsi" w:hAnsiTheme="minorHAnsi" w:cstheme="minorHAnsi"/>
                <w:sz w:val="20"/>
                <w:szCs w:val="20"/>
                <w:lang w:val="en-US" w:eastAsia="en-ZA"/>
              </w:rPr>
              <w:t xml:space="preserve"> in place</w:t>
            </w:r>
          </w:p>
        </w:tc>
        <w:tc>
          <w:tcPr>
            <w:tcW w:w="3507" w:type="dxa"/>
            <w:shd w:val="clear" w:color="auto" w:fill="D4E1ED"/>
          </w:tcPr>
          <w:p w14:paraId="1174302E" w14:textId="156A561B" w:rsidR="005A6DBB" w:rsidRPr="00C920F3" w:rsidRDefault="00F93099">
            <w:pPr>
              <w:spacing w:before="120" w:after="120"/>
              <w:rPr>
                <w:rFonts w:asciiTheme="minorHAnsi" w:hAnsiTheme="minorHAnsi" w:cstheme="minorHAnsi"/>
                <w:sz w:val="20"/>
                <w:szCs w:val="20"/>
                <w:lang w:val="en-US" w:eastAsia="en-ZA"/>
              </w:rPr>
            </w:pPr>
            <w:r w:rsidRPr="00C920F3">
              <w:rPr>
                <w:rFonts w:asciiTheme="minorHAnsi" w:hAnsiTheme="minorHAnsi" w:cstheme="minorHAnsi"/>
                <w:sz w:val="20"/>
                <w:szCs w:val="20"/>
                <w:lang w:val="en-US" w:eastAsia="en-ZA"/>
              </w:rPr>
              <w:t>A decision was taken to start with ICT BCP instead of the broad BCP.</w:t>
            </w:r>
          </w:p>
        </w:tc>
        <w:tc>
          <w:tcPr>
            <w:tcW w:w="3508" w:type="dxa"/>
            <w:shd w:val="clear" w:color="auto" w:fill="D4E1ED"/>
          </w:tcPr>
          <w:p w14:paraId="274915A5" w14:textId="6A0051F1" w:rsidR="005A6DBB" w:rsidRPr="00C920F3" w:rsidRDefault="00F93099">
            <w:pPr>
              <w:keepNext/>
              <w:spacing w:before="120" w:after="120"/>
              <w:rPr>
                <w:rFonts w:asciiTheme="minorHAnsi" w:hAnsiTheme="minorHAnsi" w:cstheme="minorHAnsi"/>
                <w:sz w:val="20"/>
                <w:szCs w:val="20"/>
                <w:lang w:val="en-US" w:eastAsia="en-ZA"/>
              </w:rPr>
            </w:pPr>
            <w:r w:rsidRPr="00C920F3">
              <w:rPr>
                <w:rFonts w:asciiTheme="minorHAnsi" w:hAnsiTheme="minorHAnsi" w:cstheme="minorHAnsi"/>
                <w:sz w:val="20"/>
                <w:szCs w:val="20"/>
                <w:lang w:val="en-US" w:eastAsia="en-ZA"/>
              </w:rPr>
              <w:t xml:space="preserve">The </w:t>
            </w:r>
            <w:r w:rsidR="0060758D" w:rsidRPr="00C920F3">
              <w:rPr>
                <w:rFonts w:asciiTheme="minorHAnsi" w:hAnsiTheme="minorHAnsi" w:cstheme="minorHAnsi"/>
                <w:sz w:val="20"/>
                <w:szCs w:val="20"/>
                <w:lang w:val="en-US" w:eastAsia="en-ZA"/>
              </w:rPr>
              <w:t>M</w:t>
            </w:r>
            <w:r w:rsidRPr="00C920F3">
              <w:rPr>
                <w:rFonts w:asciiTheme="minorHAnsi" w:hAnsiTheme="minorHAnsi" w:cstheme="minorHAnsi"/>
                <w:sz w:val="20"/>
                <w:szCs w:val="20"/>
                <w:lang w:val="en-US" w:eastAsia="en-ZA"/>
              </w:rPr>
              <w:t xml:space="preserve">unicipality </w:t>
            </w:r>
            <w:r w:rsidR="00FA3164" w:rsidRPr="00C920F3">
              <w:rPr>
                <w:rFonts w:asciiTheme="minorHAnsi" w:hAnsiTheme="minorHAnsi" w:cstheme="minorHAnsi"/>
                <w:sz w:val="20"/>
                <w:szCs w:val="20"/>
                <w:lang w:val="en-US" w:eastAsia="en-ZA"/>
              </w:rPr>
              <w:t xml:space="preserve">need </w:t>
            </w:r>
            <w:r w:rsidRPr="00C920F3">
              <w:rPr>
                <w:rFonts w:asciiTheme="minorHAnsi" w:hAnsiTheme="minorHAnsi" w:cstheme="minorHAnsi"/>
                <w:sz w:val="20"/>
                <w:szCs w:val="20"/>
                <w:lang w:val="en-US" w:eastAsia="en-ZA"/>
              </w:rPr>
              <w:t xml:space="preserve">to </w:t>
            </w:r>
            <w:proofErr w:type="spellStart"/>
            <w:r w:rsidRPr="00C920F3">
              <w:rPr>
                <w:rFonts w:asciiTheme="minorHAnsi" w:hAnsiTheme="minorHAnsi" w:cstheme="minorHAnsi"/>
                <w:sz w:val="20"/>
                <w:szCs w:val="20"/>
                <w:lang w:val="en-US" w:eastAsia="en-ZA"/>
              </w:rPr>
              <w:t>prioritise</w:t>
            </w:r>
            <w:proofErr w:type="spellEnd"/>
            <w:r w:rsidRPr="00C920F3">
              <w:rPr>
                <w:rFonts w:asciiTheme="minorHAnsi" w:hAnsiTheme="minorHAnsi" w:cstheme="minorHAnsi"/>
                <w:sz w:val="20"/>
                <w:szCs w:val="20"/>
                <w:lang w:val="en-US" w:eastAsia="en-ZA"/>
              </w:rPr>
              <w:t xml:space="preserve"> the</w:t>
            </w:r>
            <w:r w:rsidR="00FA3164" w:rsidRPr="00C920F3">
              <w:rPr>
                <w:rFonts w:asciiTheme="minorHAnsi" w:hAnsiTheme="minorHAnsi" w:cstheme="minorHAnsi"/>
                <w:sz w:val="20"/>
                <w:szCs w:val="20"/>
                <w:lang w:val="en-US" w:eastAsia="en-ZA"/>
              </w:rPr>
              <w:t xml:space="preserve"> </w:t>
            </w:r>
            <w:r w:rsidRPr="00C920F3">
              <w:rPr>
                <w:rFonts w:asciiTheme="minorHAnsi" w:hAnsiTheme="minorHAnsi" w:cstheme="minorHAnsi"/>
                <w:sz w:val="20"/>
                <w:szCs w:val="20"/>
                <w:lang w:val="en-US" w:eastAsia="en-ZA"/>
              </w:rPr>
              <w:t>development of the enterprise-wide BCP that will include the ICT BCP.</w:t>
            </w:r>
          </w:p>
          <w:p w14:paraId="39D0146A" w14:textId="0D27C6F1" w:rsidR="005A6DBB" w:rsidRPr="00C920F3" w:rsidRDefault="00F93099">
            <w:pPr>
              <w:keepNext/>
              <w:spacing w:before="120" w:after="120"/>
              <w:rPr>
                <w:rFonts w:asciiTheme="minorHAnsi" w:hAnsiTheme="minorHAnsi" w:cstheme="minorHAnsi"/>
                <w:sz w:val="20"/>
                <w:szCs w:val="20"/>
                <w:lang w:val="en-US" w:eastAsia="en-ZA"/>
              </w:rPr>
            </w:pPr>
            <w:r w:rsidRPr="00C920F3">
              <w:rPr>
                <w:rFonts w:asciiTheme="minorHAnsi" w:hAnsiTheme="minorHAnsi" w:cstheme="minorHAnsi"/>
                <w:sz w:val="20"/>
                <w:szCs w:val="20"/>
                <w:lang w:val="en-US" w:eastAsia="en-ZA"/>
              </w:rPr>
              <w:t>Management</w:t>
            </w:r>
            <w:r w:rsidR="00A178D6">
              <w:rPr>
                <w:rFonts w:asciiTheme="minorHAnsi" w:hAnsiTheme="minorHAnsi" w:cstheme="minorHAnsi"/>
                <w:sz w:val="20"/>
                <w:szCs w:val="20"/>
                <w:lang w:val="en-US" w:eastAsia="en-ZA"/>
              </w:rPr>
              <w:t xml:space="preserve"> should</w:t>
            </w:r>
            <w:r w:rsidRPr="00C920F3">
              <w:rPr>
                <w:rFonts w:asciiTheme="minorHAnsi" w:hAnsiTheme="minorHAnsi" w:cstheme="minorHAnsi"/>
                <w:sz w:val="20"/>
                <w:szCs w:val="20"/>
                <w:lang w:val="en-US" w:eastAsia="en-ZA"/>
              </w:rPr>
              <w:t xml:space="preserve"> submit quarterly reports on implementation of mitigating measures against identified risks to </w:t>
            </w:r>
            <w:r w:rsidR="00A178D6">
              <w:rPr>
                <w:rFonts w:asciiTheme="minorHAnsi" w:hAnsiTheme="minorHAnsi" w:cstheme="minorHAnsi"/>
                <w:sz w:val="20"/>
                <w:szCs w:val="20"/>
                <w:lang w:val="en-US" w:eastAsia="en-ZA"/>
              </w:rPr>
              <w:t>r</w:t>
            </w:r>
            <w:r w:rsidRPr="00C920F3">
              <w:rPr>
                <w:rFonts w:asciiTheme="minorHAnsi" w:hAnsiTheme="minorHAnsi" w:cstheme="minorHAnsi"/>
                <w:sz w:val="20"/>
                <w:szCs w:val="20"/>
                <w:lang w:val="en-US" w:eastAsia="en-ZA"/>
              </w:rPr>
              <w:t>isk management committee and Council</w:t>
            </w:r>
            <w:r w:rsidR="00FA3164" w:rsidRPr="00C920F3">
              <w:rPr>
                <w:rFonts w:asciiTheme="minorHAnsi" w:hAnsiTheme="minorHAnsi" w:cstheme="minorHAnsi"/>
                <w:sz w:val="20"/>
                <w:szCs w:val="20"/>
                <w:lang w:val="en-US" w:eastAsia="en-ZA"/>
              </w:rPr>
              <w:t>.</w:t>
            </w:r>
          </w:p>
          <w:p w14:paraId="7EABE632" w14:textId="0A7370A2" w:rsidR="005A6DBB" w:rsidRPr="00C920F3" w:rsidRDefault="00F93099">
            <w:pPr>
              <w:keepNext/>
              <w:spacing w:before="120" w:after="120"/>
              <w:rPr>
                <w:rFonts w:asciiTheme="minorHAnsi" w:hAnsiTheme="minorHAnsi" w:cstheme="minorHAnsi"/>
                <w:sz w:val="20"/>
                <w:szCs w:val="20"/>
                <w:lang w:val="en-US" w:eastAsia="en-ZA"/>
              </w:rPr>
            </w:pPr>
            <w:r w:rsidRPr="00C920F3">
              <w:rPr>
                <w:rFonts w:asciiTheme="minorHAnsi" w:hAnsiTheme="minorHAnsi" w:cstheme="minorHAnsi"/>
                <w:sz w:val="20"/>
                <w:szCs w:val="20"/>
                <w:lang w:val="en-US" w:eastAsia="en-ZA"/>
              </w:rPr>
              <w:t xml:space="preserve">Internal Audit to assist in monitoring risk mitigation </w:t>
            </w:r>
            <w:r w:rsidR="00FA3164" w:rsidRPr="00C920F3">
              <w:rPr>
                <w:rFonts w:asciiTheme="minorHAnsi" w:hAnsiTheme="minorHAnsi" w:cstheme="minorHAnsi"/>
                <w:sz w:val="20"/>
                <w:szCs w:val="20"/>
                <w:lang w:val="en-US" w:eastAsia="en-ZA"/>
              </w:rPr>
              <w:t>measures</w:t>
            </w:r>
            <w:r w:rsidRPr="00C920F3">
              <w:rPr>
                <w:rFonts w:asciiTheme="minorHAnsi" w:hAnsiTheme="minorHAnsi" w:cstheme="minorHAnsi"/>
                <w:sz w:val="20"/>
                <w:szCs w:val="20"/>
                <w:lang w:val="en-US" w:eastAsia="en-ZA"/>
              </w:rPr>
              <w:t xml:space="preserve"> in the </w:t>
            </w:r>
            <w:r w:rsidR="00FA3164" w:rsidRPr="00C920F3">
              <w:rPr>
                <w:rFonts w:asciiTheme="minorHAnsi" w:hAnsiTheme="minorHAnsi" w:cstheme="minorHAnsi"/>
                <w:sz w:val="20"/>
                <w:szCs w:val="20"/>
                <w:lang w:val="en-US" w:eastAsia="en-ZA"/>
              </w:rPr>
              <w:t>M</w:t>
            </w:r>
            <w:r w:rsidRPr="00C920F3">
              <w:rPr>
                <w:rFonts w:asciiTheme="minorHAnsi" w:hAnsiTheme="minorHAnsi" w:cstheme="minorHAnsi"/>
                <w:sz w:val="20"/>
                <w:szCs w:val="20"/>
                <w:lang w:val="en-US" w:eastAsia="en-ZA"/>
              </w:rPr>
              <w:t>unicipality.</w:t>
            </w:r>
          </w:p>
        </w:tc>
      </w:tr>
      <w:tr w:rsidR="005A6DBB" w14:paraId="33AF3073" w14:textId="77777777">
        <w:trPr>
          <w:trHeight w:val="300"/>
        </w:trPr>
        <w:tc>
          <w:tcPr>
            <w:tcW w:w="3507" w:type="dxa"/>
            <w:shd w:val="clear" w:color="auto" w:fill="D4E1ED"/>
          </w:tcPr>
          <w:p w14:paraId="708B2BFC" w14:textId="77777777" w:rsidR="005A6DBB" w:rsidRPr="00A178D6" w:rsidRDefault="00F93099">
            <w:pPr>
              <w:spacing w:before="120" w:after="120"/>
              <w:rPr>
                <w:rFonts w:asciiTheme="minorHAnsi" w:hAnsiTheme="minorHAnsi" w:cstheme="minorHAnsi"/>
                <w:b/>
                <w:bCs/>
                <w:sz w:val="20"/>
                <w:szCs w:val="20"/>
                <w:lang w:val="en-US" w:eastAsia="en-ZA"/>
              </w:rPr>
            </w:pPr>
            <w:r w:rsidRPr="00A178D6">
              <w:rPr>
                <w:rFonts w:asciiTheme="minorHAnsi" w:hAnsiTheme="minorHAnsi" w:cstheme="minorHAnsi"/>
                <w:b/>
                <w:bCs/>
                <w:sz w:val="20"/>
                <w:szCs w:val="20"/>
                <w:lang w:val="en-US" w:eastAsia="en-ZA"/>
              </w:rPr>
              <w:t>Internal Audit</w:t>
            </w:r>
          </w:p>
        </w:tc>
        <w:tc>
          <w:tcPr>
            <w:tcW w:w="3507" w:type="dxa"/>
            <w:shd w:val="clear" w:color="auto" w:fill="D4E1ED"/>
          </w:tcPr>
          <w:p w14:paraId="26234E72" w14:textId="3135128E" w:rsidR="005A6DBB" w:rsidRPr="00A178D6" w:rsidRDefault="00F93099">
            <w:pPr>
              <w:spacing w:before="120" w:after="120"/>
              <w:rPr>
                <w:rFonts w:asciiTheme="minorHAnsi" w:hAnsiTheme="minorHAnsi" w:cstheme="minorHAnsi"/>
                <w:sz w:val="20"/>
                <w:szCs w:val="20"/>
                <w:lang w:val="en-US" w:eastAsia="en-ZA"/>
              </w:rPr>
            </w:pPr>
            <w:r w:rsidRPr="00A178D6">
              <w:rPr>
                <w:rFonts w:asciiTheme="minorHAnsi" w:hAnsiTheme="minorHAnsi" w:cstheme="minorHAnsi"/>
                <w:sz w:val="20"/>
                <w:szCs w:val="20"/>
                <w:lang w:val="en-US" w:eastAsia="en-ZA"/>
              </w:rPr>
              <w:t xml:space="preserve">The </w:t>
            </w:r>
            <w:r w:rsidR="006D6A52" w:rsidRPr="00A178D6">
              <w:rPr>
                <w:rFonts w:asciiTheme="minorHAnsi" w:hAnsiTheme="minorHAnsi" w:cstheme="minorHAnsi"/>
                <w:sz w:val="20"/>
                <w:szCs w:val="20"/>
                <w:lang w:val="en-US" w:eastAsia="en-ZA"/>
              </w:rPr>
              <w:t>M</w:t>
            </w:r>
            <w:r w:rsidRPr="00A178D6">
              <w:rPr>
                <w:rFonts w:asciiTheme="minorHAnsi" w:hAnsiTheme="minorHAnsi" w:cstheme="minorHAnsi"/>
                <w:sz w:val="20"/>
                <w:szCs w:val="20"/>
                <w:lang w:val="en-US" w:eastAsia="en-ZA"/>
              </w:rPr>
              <w:t xml:space="preserve">unicipality’s Internal Audit function is in place and functional. However, recommendations of the Audit Committee have been partially implemented by the </w:t>
            </w:r>
            <w:r w:rsidR="006D6A52" w:rsidRPr="00A178D6">
              <w:rPr>
                <w:rFonts w:asciiTheme="minorHAnsi" w:hAnsiTheme="minorHAnsi" w:cstheme="minorHAnsi"/>
                <w:sz w:val="20"/>
                <w:szCs w:val="20"/>
                <w:lang w:val="en-US" w:eastAsia="en-ZA"/>
              </w:rPr>
              <w:t>M</w:t>
            </w:r>
            <w:r w:rsidRPr="00A178D6">
              <w:rPr>
                <w:rFonts w:asciiTheme="minorHAnsi" w:hAnsiTheme="minorHAnsi" w:cstheme="minorHAnsi"/>
                <w:sz w:val="20"/>
                <w:szCs w:val="20"/>
                <w:lang w:val="en-US" w:eastAsia="en-ZA"/>
              </w:rPr>
              <w:t xml:space="preserve">unicipality. </w:t>
            </w:r>
            <w:r w:rsidR="00A178D6">
              <w:rPr>
                <w:rFonts w:asciiTheme="minorHAnsi" w:hAnsiTheme="minorHAnsi" w:cstheme="minorHAnsi"/>
                <w:sz w:val="20"/>
                <w:szCs w:val="20"/>
                <w:lang w:val="en-US" w:eastAsia="en-ZA"/>
              </w:rPr>
              <w:t xml:space="preserve"> </w:t>
            </w:r>
            <w:r w:rsidRPr="00A178D6">
              <w:rPr>
                <w:rFonts w:asciiTheme="minorHAnsi" w:hAnsiTheme="minorHAnsi" w:cstheme="minorHAnsi"/>
                <w:sz w:val="20"/>
                <w:szCs w:val="20"/>
                <w:lang w:val="en-US" w:eastAsia="en-ZA"/>
              </w:rPr>
              <w:t>The term of the current Audit Committee has ended on 31 May 2023 and Council is in the process of finalising the appointment of the new members</w:t>
            </w:r>
            <w:r w:rsidR="00A178D6">
              <w:rPr>
                <w:rFonts w:asciiTheme="minorHAnsi" w:hAnsiTheme="minorHAnsi" w:cstheme="minorHAnsi"/>
                <w:sz w:val="20"/>
                <w:szCs w:val="20"/>
                <w:lang w:val="en-US" w:eastAsia="en-ZA"/>
              </w:rPr>
              <w:t>.</w:t>
            </w:r>
          </w:p>
        </w:tc>
        <w:tc>
          <w:tcPr>
            <w:tcW w:w="3507" w:type="dxa"/>
            <w:shd w:val="clear" w:color="auto" w:fill="D4E1ED"/>
          </w:tcPr>
          <w:p w14:paraId="33853478" w14:textId="5C1599BE" w:rsidR="005A6DBB" w:rsidRPr="00A178D6" w:rsidRDefault="00F93099">
            <w:pPr>
              <w:spacing w:before="120" w:after="120"/>
              <w:rPr>
                <w:rFonts w:asciiTheme="minorHAnsi" w:hAnsiTheme="minorHAnsi" w:cstheme="minorHAnsi"/>
                <w:sz w:val="20"/>
                <w:szCs w:val="20"/>
                <w:lang w:val="en-US" w:eastAsia="en-ZA"/>
              </w:rPr>
            </w:pPr>
            <w:r w:rsidRPr="00A178D6">
              <w:rPr>
                <w:rFonts w:asciiTheme="minorHAnsi" w:hAnsiTheme="minorHAnsi" w:cstheme="minorHAnsi"/>
                <w:sz w:val="20"/>
                <w:szCs w:val="20"/>
                <w:lang w:val="en-US" w:eastAsia="en-ZA"/>
              </w:rPr>
              <w:t xml:space="preserve">The </w:t>
            </w:r>
            <w:r w:rsidR="006D6A52" w:rsidRPr="00A178D6">
              <w:rPr>
                <w:rFonts w:asciiTheme="minorHAnsi" w:hAnsiTheme="minorHAnsi" w:cstheme="minorHAnsi"/>
                <w:sz w:val="20"/>
                <w:szCs w:val="20"/>
                <w:lang w:val="en-US" w:eastAsia="en-ZA"/>
              </w:rPr>
              <w:t>M</w:t>
            </w:r>
            <w:r w:rsidRPr="00A178D6">
              <w:rPr>
                <w:rFonts w:asciiTheme="minorHAnsi" w:hAnsiTheme="minorHAnsi" w:cstheme="minorHAnsi"/>
                <w:sz w:val="20"/>
                <w:szCs w:val="20"/>
                <w:lang w:val="en-US" w:eastAsia="en-ZA"/>
              </w:rPr>
              <w:t>unicipality’s 2022/23 Internal Audit Plan was approved by the Audit Committee, an in its reports to Council, reflect on the work it has performed on the Internal Audit annual plans, the details of which are captured in the minutes of the Audit Committee that form part of annexures to the Audit Committee reports to Council.</w:t>
            </w:r>
            <w:r w:rsidR="00A178D6">
              <w:rPr>
                <w:rFonts w:asciiTheme="minorHAnsi" w:hAnsiTheme="minorHAnsi" w:cstheme="minorHAnsi"/>
                <w:sz w:val="20"/>
                <w:szCs w:val="20"/>
                <w:lang w:val="en-US" w:eastAsia="en-ZA"/>
              </w:rPr>
              <w:t xml:space="preserve"> </w:t>
            </w:r>
            <w:r w:rsidRPr="00A178D6">
              <w:rPr>
                <w:rFonts w:asciiTheme="minorHAnsi" w:hAnsiTheme="minorHAnsi" w:cstheme="minorHAnsi"/>
                <w:sz w:val="20"/>
                <w:szCs w:val="20"/>
                <w:lang w:val="en-US" w:eastAsia="en-ZA"/>
              </w:rPr>
              <w:t xml:space="preserve"> Internal Audit submit quarterly reports on the implementation of the plan to the Audit Committee. The previous Audit Committee was in place and functional. The post of CAE has been filled.</w:t>
            </w:r>
          </w:p>
        </w:tc>
        <w:tc>
          <w:tcPr>
            <w:tcW w:w="3508" w:type="dxa"/>
            <w:shd w:val="clear" w:color="auto" w:fill="D4E1ED"/>
          </w:tcPr>
          <w:p w14:paraId="183ABD42" w14:textId="77777777" w:rsidR="005A6DBB" w:rsidRPr="00A178D6" w:rsidRDefault="00F93099">
            <w:pPr>
              <w:keepNext/>
              <w:spacing w:before="120" w:after="120"/>
              <w:rPr>
                <w:rFonts w:asciiTheme="minorHAnsi" w:hAnsiTheme="minorHAnsi" w:cstheme="minorHAnsi"/>
                <w:sz w:val="20"/>
                <w:szCs w:val="20"/>
                <w:lang w:val="en-US" w:eastAsia="en-ZA"/>
              </w:rPr>
            </w:pPr>
            <w:r w:rsidRPr="00A178D6">
              <w:rPr>
                <w:rFonts w:asciiTheme="minorHAnsi" w:hAnsiTheme="minorHAnsi" w:cstheme="minorHAnsi"/>
                <w:sz w:val="20"/>
                <w:szCs w:val="20"/>
                <w:lang w:val="en-US" w:eastAsia="en-ZA"/>
              </w:rPr>
              <w:t>Internal Audit should provide support and monitor the implementation of Audit Committee recommendations by management.</w:t>
            </w:r>
          </w:p>
          <w:p w14:paraId="207B4267" w14:textId="77777777" w:rsidR="005A6DBB" w:rsidRPr="00A178D6" w:rsidRDefault="00F93099">
            <w:pPr>
              <w:keepNext/>
              <w:spacing w:before="120" w:after="120"/>
              <w:rPr>
                <w:rFonts w:asciiTheme="minorHAnsi" w:hAnsiTheme="minorHAnsi" w:cstheme="minorHAnsi"/>
                <w:sz w:val="20"/>
                <w:szCs w:val="20"/>
                <w:lang w:val="en-US" w:eastAsia="en-ZA"/>
              </w:rPr>
            </w:pPr>
            <w:r w:rsidRPr="00A178D6">
              <w:rPr>
                <w:rFonts w:asciiTheme="minorHAnsi" w:hAnsiTheme="minorHAnsi" w:cstheme="minorHAnsi"/>
                <w:sz w:val="20"/>
                <w:szCs w:val="20"/>
                <w:lang w:val="en-US" w:eastAsia="en-ZA"/>
              </w:rPr>
              <w:t>The process of appointing the new Audit Committee should be fast-tracked.</w:t>
            </w:r>
          </w:p>
        </w:tc>
      </w:tr>
    </w:tbl>
    <w:p w14:paraId="1C28E7C3" w14:textId="77777777" w:rsidR="005A6DBB" w:rsidRDefault="005A6DBB">
      <w:pPr>
        <w:spacing w:before="120" w:after="120"/>
        <w:rPr>
          <w:lang w:val="en-US"/>
        </w:rPr>
      </w:pPr>
    </w:p>
    <w:p w14:paraId="45BF3834" w14:textId="77777777" w:rsidR="005A6DBB" w:rsidRDefault="00F93099">
      <w:pPr>
        <w:pStyle w:val="Heading2"/>
      </w:pPr>
      <w:bookmarkStart w:id="22" w:name="_Toc137732205"/>
      <w:r>
        <w:t>INSTITUTIONAL, ORGANISATIONAL AND HUMAN RESOURCES</w:t>
      </w:r>
      <w:bookmarkEnd w:id="22"/>
      <w:r>
        <w:t xml:space="preserve"> </w:t>
      </w:r>
    </w:p>
    <w:p w14:paraId="53DBF469"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23" w:name="_Toc137732206"/>
      <w:r>
        <w:rPr>
          <w:rFonts w:cs="Arial"/>
          <w:b/>
          <w:szCs w:val="26"/>
        </w:rPr>
        <w:t>INTRODUCTION</w:t>
      </w:r>
      <w:bookmarkEnd w:id="23"/>
    </w:p>
    <w:p w14:paraId="383C51F6" w14:textId="77777777" w:rsidR="005A6DBB" w:rsidRDefault="00F93099">
      <w:pPr>
        <w:spacing w:before="120" w:after="120"/>
        <w:rPr>
          <w:lang w:val="en-US"/>
        </w:rPr>
      </w:pPr>
      <w:r>
        <w:rPr>
          <w:lang w:val="en-US"/>
        </w:rPr>
        <w:t xml:space="preserve">A Financial Recovery Plan (FRP) developed in 2020 went into great detail on the prevailing state of affairs.  In addition, key recommendations were made on how to address these.  In 2022, a further status quo was conducted, and key issues were identified.  The approach to this assessment builds on the work already done and identify the state of affairs in the Municipality as at March 2023.  </w:t>
      </w:r>
    </w:p>
    <w:p w14:paraId="7D2120D5" w14:textId="77777777" w:rsidR="005A6DBB" w:rsidRDefault="00F93099">
      <w:pPr>
        <w:spacing w:before="120" w:after="120"/>
        <w:rPr>
          <w:lang w:val="en-US"/>
        </w:rPr>
      </w:pPr>
      <w:r>
        <w:rPr>
          <w:lang w:val="en-US"/>
        </w:rPr>
        <w:t>From this assessment, the same key issues still exist with no real positive progress to recovery, mainly due political and institutional instability.</w:t>
      </w:r>
    </w:p>
    <w:p w14:paraId="7AF57CBE" w14:textId="77777777" w:rsidR="005A6DBB" w:rsidRDefault="00F93099">
      <w:pPr>
        <w:spacing w:before="120" w:after="120"/>
        <w:rPr>
          <w:lang w:val="en-US"/>
        </w:rPr>
      </w:pPr>
      <w:r>
        <w:rPr>
          <w:lang w:val="en-US"/>
        </w:rPr>
        <w:t>Most of the recommendations made in 2019 were not implemented and this poses a significant risk to the development and updating of the 2023 FRP. Having said that, there are key areas where further intervention may be required.</w:t>
      </w:r>
    </w:p>
    <w:p w14:paraId="36BF7E7C" w14:textId="77777777" w:rsidR="005A6DBB" w:rsidRDefault="00F93099">
      <w:pPr>
        <w:spacing w:before="120" w:after="120"/>
        <w:rPr>
          <w:lang w:val="en-US"/>
        </w:rPr>
      </w:pPr>
      <w:r>
        <w:rPr>
          <w:lang w:val="en-US"/>
        </w:rPr>
        <w:t>Experts in the field of organisational development identify 5 issues for ensuring well-functioning and effective organisations.  The table below identifies the issues and links them to the Mangaung/Local government environment.</w:t>
      </w:r>
    </w:p>
    <w:tbl>
      <w:tblPr>
        <w:tblStyle w:val="TableGrid"/>
        <w:tblpPr w:leftFromText="180" w:rightFromText="180" w:vertAnchor="text" w:horzAnchor="margin" w:tblpY="10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9"/>
        <w:gridCol w:w="3313"/>
        <w:gridCol w:w="3299"/>
        <w:gridCol w:w="3691"/>
      </w:tblGrid>
      <w:tr w:rsidR="005A6DBB" w14:paraId="0C9D155D" w14:textId="77777777">
        <w:trPr>
          <w:trHeight w:val="300"/>
          <w:tblHeader/>
        </w:trPr>
        <w:tc>
          <w:tcPr>
            <w:tcW w:w="1318" w:type="pct"/>
            <w:shd w:val="clear" w:color="auto" w:fill="002060"/>
          </w:tcPr>
          <w:p w14:paraId="6B641F74"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Focus Area</w:t>
            </w:r>
          </w:p>
        </w:tc>
        <w:tc>
          <w:tcPr>
            <w:tcW w:w="1184" w:type="pct"/>
            <w:shd w:val="clear" w:color="auto" w:fill="002060"/>
          </w:tcPr>
          <w:p w14:paraId="7B179F1F"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Brief Diagnostic Analysis</w:t>
            </w:r>
          </w:p>
        </w:tc>
        <w:tc>
          <w:tcPr>
            <w:tcW w:w="1179" w:type="pct"/>
            <w:shd w:val="clear" w:color="auto" w:fill="002060"/>
          </w:tcPr>
          <w:p w14:paraId="54405D60"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Key Issue/ Root Causes</w:t>
            </w:r>
          </w:p>
        </w:tc>
        <w:tc>
          <w:tcPr>
            <w:tcW w:w="1319" w:type="pct"/>
            <w:shd w:val="clear" w:color="auto" w:fill="002060"/>
          </w:tcPr>
          <w:p w14:paraId="444B021E"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Proposed Strategy to Resolve</w:t>
            </w:r>
          </w:p>
        </w:tc>
      </w:tr>
      <w:tr w:rsidR="005A6DBB" w14:paraId="41743DA6" w14:textId="77777777">
        <w:trPr>
          <w:trHeight w:val="1134"/>
        </w:trPr>
        <w:tc>
          <w:tcPr>
            <w:tcW w:w="1318" w:type="pct"/>
            <w:shd w:val="clear" w:color="auto" w:fill="D4E1ED"/>
          </w:tcPr>
          <w:p w14:paraId="014949CF" w14:textId="77777777" w:rsidR="005A6DBB" w:rsidRDefault="00F93099">
            <w:pPr>
              <w:spacing w:before="120" w:after="120"/>
              <w:jc w:val="left"/>
              <w:rPr>
                <w:b/>
                <w:bCs/>
                <w:sz w:val="20"/>
                <w:lang w:eastAsia="en-ZA"/>
              </w:rPr>
            </w:pPr>
            <w:r>
              <w:rPr>
                <w:b/>
                <w:bCs/>
                <w:sz w:val="20"/>
                <w:lang w:eastAsia="en-ZA"/>
              </w:rPr>
              <w:t xml:space="preserve">Effective leadership and management. </w:t>
            </w:r>
          </w:p>
          <w:p w14:paraId="73A14670" w14:textId="77777777" w:rsidR="005A6DBB" w:rsidRDefault="005A6DBB">
            <w:pPr>
              <w:autoSpaceDE w:val="0"/>
              <w:autoSpaceDN w:val="0"/>
              <w:adjustRightInd w:val="0"/>
              <w:spacing w:before="120" w:after="120"/>
              <w:jc w:val="left"/>
              <w:rPr>
                <w:rFonts w:asciiTheme="minorHAnsi" w:hAnsiTheme="minorHAnsi" w:cstheme="minorHAnsi"/>
                <w:sz w:val="20"/>
                <w:szCs w:val="20"/>
                <w:lang w:eastAsia="en-ZA"/>
              </w:rPr>
            </w:pPr>
          </w:p>
        </w:tc>
        <w:tc>
          <w:tcPr>
            <w:tcW w:w="1184" w:type="pct"/>
            <w:shd w:val="clear" w:color="auto" w:fill="D4E1ED"/>
          </w:tcPr>
          <w:p w14:paraId="0D183865"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There is instability at MMM as the City Manager and Section 56 Appointments remain vacant or are filled with acting appointments.  </w:t>
            </w:r>
          </w:p>
          <w:p w14:paraId="75382386" w14:textId="77777777" w:rsidR="005A6DBB" w:rsidRDefault="005A6DBB">
            <w:pPr>
              <w:autoSpaceDE w:val="0"/>
              <w:autoSpaceDN w:val="0"/>
              <w:adjustRightInd w:val="0"/>
              <w:spacing w:before="120" w:after="120"/>
              <w:jc w:val="left"/>
              <w:rPr>
                <w:rFonts w:asciiTheme="minorHAnsi" w:hAnsiTheme="minorHAnsi" w:cstheme="minorHAnsi"/>
                <w:sz w:val="20"/>
                <w:szCs w:val="20"/>
                <w:lang w:eastAsia="en-ZA"/>
              </w:rPr>
            </w:pPr>
          </w:p>
        </w:tc>
        <w:tc>
          <w:tcPr>
            <w:tcW w:w="1179" w:type="pct"/>
            <w:shd w:val="clear" w:color="auto" w:fill="D4E1ED"/>
          </w:tcPr>
          <w:p w14:paraId="05B7CBA9"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Inadequate leadership results in lack of direction to address the operations and challenges to achieve a thriving Municipality.</w:t>
            </w:r>
          </w:p>
        </w:tc>
        <w:tc>
          <w:tcPr>
            <w:tcW w:w="1319" w:type="pct"/>
            <w:shd w:val="clear" w:color="auto" w:fill="D4E1ED"/>
          </w:tcPr>
          <w:p w14:paraId="770CCF29"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Achieve stability at a political and administrative level.  This includes the filling of the City Manager and the Section 56 appointments positions.</w:t>
            </w:r>
          </w:p>
        </w:tc>
      </w:tr>
      <w:tr w:rsidR="005A6DBB" w14:paraId="6842BF5C" w14:textId="77777777">
        <w:tc>
          <w:tcPr>
            <w:tcW w:w="1318" w:type="pct"/>
            <w:shd w:val="clear" w:color="auto" w:fill="BED3E4"/>
          </w:tcPr>
          <w:p w14:paraId="236DD68F"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b/>
                <w:bCs/>
                <w:sz w:val="20"/>
                <w:szCs w:val="20"/>
                <w:lang w:eastAsia="en-ZA"/>
              </w:rPr>
              <w:t>Well-defined organisational structure.</w:t>
            </w:r>
            <w:r>
              <w:rPr>
                <w:rFonts w:asciiTheme="minorHAnsi" w:hAnsiTheme="minorHAnsi" w:cstheme="minorHAnsi"/>
                <w:sz w:val="20"/>
                <w:szCs w:val="20"/>
                <w:lang w:eastAsia="en-ZA"/>
              </w:rPr>
              <w:t xml:space="preserve"> </w:t>
            </w:r>
          </w:p>
          <w:p w14:paraId="47CCE9D7" w14:textId="77777777" w:rsidR="005A6DBB" w:rsidRDefault="005A6DBB">
            <w:pPr>
              <w:autoSpaceDE w:val="0"/>
              <w:autoSpaceDN w:val="0"/>
              <w:adjustRightInd w:val="0"/>
              <w:spacing w:before="120" w:after="120"/>
              <w:jc w:val="left"/>
              <w:rPr>
                <w:rFonts w:asciiTheme="minorHAnsi" w:hAnsiTheme="minorHAnsi" w:cstheme="minorHAnsi"/>
                <w:sz w:val="20"/>
                <w:szCs w:val="20"/>
                <w:lang w:eastAsia="en-ZA"/>
              </w:rPr>
            </w:pPr>
          </w:p>
        </w:tc>
        <w:tc>
          <w:tcPr>
            <w:tcW w:w="1184" w:type="pct"/>
            <w:shd w:val="clear" w:color="auto" w:fill="BED3E4"/>
          </w:tcPr>
          <w:p w14:paraId="1B33B84C"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highlight w:val="green"/>
                <w:lang w:eastAsia="en-ZA"/>
              </w:rPr>
            </w:pPr>
            <w:r>
              <w:rPr>
                <w:rFonts w:asciiTheme="minorHAnsi" w:hAnsiTheme="minorHAnsi" w:cstheme="minorHAnsi"/>
                <w:sz w:val="20"/>
                <w:szCs w:val="20"/>
                <w:lang w:eastAsia="en-ZA"/>
              </w:rPr>
              <w:t xml:space="preserve">MMM does not have a well-defined and approved organisational structure to support the functioning of the Municipality. </w:t>
            </w:r>
            <w:r>
              <w:rPr>
                <w:rFonts w:asciiTheme="minorHAnsi" w:hAnsiTheme="minorHAnsi" w:cstheme="minorHAnsi"/>
                <w:sz w:val="20"/>
                <w:szCs w:val="20"/>
                <w:highlight w:val="green"/>
                <w:lang w:eastAsia="en-ZA"/>
              </w:rPr>
              <w:t xml:space="preserve"> </w:t>
            </w:r>
          </w:p>
          <w:p w14:paraId="2A31F142"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lang w:eastAsia="en-ZA"/>
              </w:rPr>
              <w:t>The process for the review of the organisational structure has started however not yet concluded.</w:t>
            </w:r>
          </w:p>
        </w:tc>
        <w:tc>
          <w:tcPr>
            <w:tcW w:w="1179" w:type="pct"/>
            <w:shd w:val="clear" w:color="auto" w:fill="BED3E4"/>
          </w:tcPr>
          <w:p w14:paraId="59014CEA"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lang w:eastAsia="en-ZA"/>
              </w:rPr>
            </w:pPr>
            <w:r>
              <w:rPr>
                <w:rFonts w:asciiTheme="minorHAnsi" w:hAnsiTheme="minorHAnsi" w:cstheme="minorHAnsi"/>
                <w:sz w:val="20"/>
                <w:szCs w:val="20"/>
                <w:lang w:eastAsia="en-ZA"/>
              </w:rPr>
              <w:t>Without a well-defined organisational structure, the Municipality will continue to experience issues in operational and administrative effectiveness.</w:t>
            </w:r>
          </w:p>
        </w:tc>
        <w:tc>
          <w:tcPr>
            <w:tcW w:w="1319" w:type="pct"/>
            <w:shd w:val="clear" w:color="auto" w:fill="BED3E4"/>
          </w:tcPr>
          <w:p w14:paraId="21F081FB"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lang w:eastAsia="en-ZA"/>
              </w:rPr>
            </w:pPr>
            <w:r>
              <w:rPr>
                <w:rFonts w:asciiTheme="minorHAnsi" w:hAnsiTheme="minorHAnsi" w:cstheme="minorHAnsi"/>
                <w:sz w:val="20"/>
                <w:szCs w:val="20"/>
                <w:lang w:eastAsia="en-ZA"/>
              </w:rPr>
              <w:t>MMM should engage in the process of defining its operating model.</w:t>
            </w:r>
          </w:p>
          <w:p w14:paraId="22B72CEA"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lang w:eastAsia="en-ZA"/>
              </w:rPr>
              <w:t>The adoption and periodic review of the organisational structure in line with MMM’s approved operating model, strategy and governance structures.</w:t>
            </w:r>
          </w:p>
        </w:tc>
      </w:tr>
      <w:tr w:rsidR="005A6DBB" w14:paraId="33A3201F" w14:textId="77777777">
        <w:tc>
          <w:tcPr>
            <w:tcW w:w="1318" w:type="pct"/>
            <w:shd w:val="clear" w:color="auto" w:fill="D4E1ED"/>
          </w:tcPr>
          <w:p w14:paraId="63B408A8"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b/>
                <w:bCs/>
                <w:sz w:val="20"/>
                <w:szCs w:val="20"/>
                <w:lang w:eastAsia="en-ZA"/>
              </w:rPr>
              <w:t xml:space="preserve">Clarity about roles and responsibilities and performance management. </w:t>
            </w:r>
            <w:r>
              <w:rPr>
                <w:rFonts w:asciiTheme="minorHAnsi" w:hAnsiTheme="minorHAnsi" w:cstheme="minorHAnsi"/>
                <w:sz w:val="20"/>
                <w:szCs w:val="20"/>
                <w:lang w:eastAsia="en-ZA"/>
              </w:rPr>
              <w:t xml:space="preserve"> </w:t>
            </w:r>
          </w:p>
          <w:p w14:paraId="0CBD05E0"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color w:val="FF0000"/>
                <w:sz w:val="20"/>
                <w:szCs w:val="20"/>
                <w:lang w:eastAsia="en-ZA"/>
              </w:rPr>
              <w:t xml:space="preserve"> </w:t>
            </w:r>
          </w:p>
        </w:tc>
        <w:tc>
          <w:tcPr>
            <w:tcW w:w="1184" w:type="pct"/>
            <w:shd w:val="clear" w:color="auto" w:fill="D4E1ED"/>
          </w:tcPr>
          <w:p w14:paraId="4A972AFB"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Without clear roles and responsibilities, officials cannot be held accountable and performance management will not be effective.  It was identified in the consultation that defined roles and responsibilities exist but are not adhered to and no performance agreements and management thereof are in place. </w:t>
            </w:r>
          </w:p>
          <w:p w14:paraId="2458B966"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As a result, no consequence management can be implemented.</w:t>
            </w:r>
          </w:p>
          <w:p w14:paraId="7ACD4C34"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lang w:eastAsia="en-ZA"/>
              </w:rPr>
              <w:t>No job descriptions and bloated salaries.</w:t>
            </w:r>
          </w:p>
        </w:tc>
        <w:tc>
          <w:tcPr>
            <w:tcW w:w="1179" w:type="pct"/>
            <w:shd w:val="clear" w:color="auto" w:fill="D4E1ED"/>
          </w:tcPr>
          <w:p w14:paraId="30F1520A"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This contributes to dysfunctional operations and administration.</w:t>
            </w:r>
          </w:p>
          <w:p w14:paraId="34E519E2"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Employees take no responsibility or accountability for non-performance.</w:t>
            </w:r>
          </w:p>
          <w:p w14:paraId="541EBB2F"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Duplication in roles and responsibilities.</w:t>
            </w:r>
          </w:p>
          <w:p w14:paraId="39FFC9E0"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No benchmark for performance management and subsequently lack of consequence management.</w:t>
            </w:r>
          </w:p>
          <w:p w14:paraId="24F05B03" w14:textId="77777777" w:rsidR="005A6DBB" w:rsidRDefault="005A6DBB">
            <w:pPr>
              <w:autoSpaceDE w:val="0"/>
              <w:autoSpaceDN w:val="0"/>
              <w:adjustRightInd w:val="0"/>
              <w:spacing w:before="120" w:after="120"/>
              <w:jc w:val="left"/>
              <w:rPr>
                <w:rFonts w:asciiTheme="minorHAnsi" w:hAnsiTheme="minorHAnsi" w:cstheme="minorHAnsi"/>
                <w:sz w:val="20"/>
                <w:szCs w:val="20"/>
                <w:lang w:eastAsia="en-ZA"/>
              </w:rPr>
            </w:pPr>
          </w:p>
          <w:p w14:paraId="33E04441" w14:textId="77777777" w:rsidR="005A6DBB" w:rsidRDefault="005A6DBB">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p>
        </w:tc>
        <w:tc>
          <w:tcPr>
            <w:tcW w:w="1319" w:type="pct"/>
            <w:shd w:val="clear" w:color="auto" w:fill="D4E1ED"/>
          </w:tcPr>
          <w:p w14:paraId="3DA73400"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Review of roles and responsibilities against approved organogram.</w:t>
            </w:r>
          </w:p>
          <w:p w14:paraId="5282BB4A"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Adoption, implementation and oversight of a delegation system including adherence to such.</w:t>
            </w:r>
          </w:p>
          <w:p w14:paraId="7C57F72C"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Implementation of performance management agreements.</w:t>
            </w:r>
          </w:p>
          <w:p w14:paraId="55B24566"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The existence and adherence to a clear governance framework.</w:t>
            </w:r>
          </w:p>
          <w:p w14:paraId="331D41FB"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Conduct skills audit and define job descriptions.</w:t>
            </w:r>
          </w:p>
          <w:p w14:paraId="0479118E"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A comprehensive change management intervention needs to be rolled out to manage all issues related to culture and employee relations.</w:t>
            </w:r>
          </w:p>
        </w:tc>
      </w:tr>
      <w:tr w:rsidR="005A6DBB" w14:paraId="67D5EE9E" w14:textId="77777777">
        <w:tc>
          <w:tcPr>
            <w:tcW w:w="1318" w:type="pct"/>
            <w:shd w:val="clear" w:color="auto" w:fill="BED3E4"/>
          </w:tcPr>
          <w:p w14:paraId="14140D32"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Filling of critical positions.</w:t>
            </w:r>
          </w:p>
          <w:p w14:paraId="604AF906" w14:textId="77777777" w:rsidR="005A6DBB" w:rsidRDefault="005A6DBB">
            <w:pPr>
              <w:autoSpaceDE w:val="0"/>
              <w:autoSpaceDN w:val="0"/>
              <w:adjustRightInd w:val="0"/>
              <w:spacing w:before="120" w:after="120"/>
              <w:jc w:val="left"/>
              <w:rPr>
                <w:rFonts w:asciiTheme="minorHAnsi" w:hAnsiTheme="minorHAnsi" w:cstheme="minorHAnsi"/>
                <w:b/>
                <w:bCs/>
                <w:sz w:val="20"/>
                <w:szCs w:val="20"/>
                <w:lang w:eastAsia="en-ZA"/>
              </w:rPr>
            </w:pPr>
          </w:p>
          <w:p w14:paraId="37404E6C" w14:textId="77777777" w:rsidR="005A6DBB" w:rsidRDefault="005A6DBB">
            <w:pPr>
              <w:autoSpaceDE w:val="0"/>
              <w:autoSpaceDN w:val="0"/>
              <w:adjustRightInd w:val="0"/>
              <w:spacing w:before="120" w:after="120"/>
              <w:jc w:val="left"/>
              <w:rPr>
                <w:rFonts w:asciiTheme="minorHAnsi" w:hAnsiTheme="minorHAnsi" w:cstheme="minorHAnsi"/>
                <w:bCs/>
                <w:sz w:val="20"/>
                <w:szCs w:val="20"/>
                <w:lang w:eastAsia="en-ZA"/>
              </w:rPr>
            </w:pPr>
          </w:p>
        </w:tc>
        <w:tc>
          <w:tcPr>
            <w:tcW w:w="1184" w:type="pct"/>
            <w:shd w:val="clear" w:color="auto" w:fill="BED3E4"/>
          </w:tcPr>
          <w:p w14:paraId="390D46A6"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Delay in the filling of critical vacant posts with people that have the appropriate experience, skills and qualifications.</w:t>
            </w:r>
          </w:p>
        </w:tc>
        <w:tc>
          <w:tcPr>
            <w:tcW w:w="1179" w:type="pct"/>
            <w:shd w:val="clear" w:color="auto" w:fill="BED3E4"/>
          </w:tcPr>
          <w:p w14:paraId="4D5C17BC"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 xml:space="preserve">Poor service delivery as the Municipality is not operating efficiently. </w:t>
            </w:r>
          </w:p>
        </w:tc>
        <w:tc>
          <w:tcPr>
            <w:tcW w:w="1319" w:type="pct"/>
            <w:shd w:val="clear" w:color="auto" w:fill="BED3E4"/>
          </w:tcPr>
          <w:p w14:paraId="6107616F"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Organisational restructuring by assessing the critical posts required to operate efficiently and effectively and staff excess to requirements of the Municipality.</w:t>
            </w:r>
          </w:p>
          <w:p w14:paraId="7331CCDE"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Improve its human resource strategy that guides recruitment, placement of staff, retention of staff, performance management and disciplinary processes.</w:t>
            </w:r>
          </w:p>
          <w:p w14:paraId="588D4FEA"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The filling of critical positions and the training and development of all functionaries on their role, especially vacancies directly influencing service delivery.</w:t>
            </w:r>
          </w:p>
          <w:p w14:paraId="403FBA2C"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It is advisable that National Treasury/ CoGTA intervene in this process.</w:t>
            </w:r>
          </w:p>
        </w:tc>
      </w:tr>
      <w:tr w:rsidR="005A6DBB" w14:paraId="22408A71" w14:textId="77777777">
        <w:tc>
          <w:tcPr>
            <w:tcW w:w="1318" w:type="pct"/>
            <w:shd w:val="clear" w:color="auto" w:fill="BED3E4"/>
          </w:tcPr>
          <w:p w14:paraId="15300BED"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b/>
                <w:bCs/>
                <w:sz w:val="20"/>
                <w:szCs w:val="20"/>
                <w:lang w:eastAsia="en-ZA"/>
              </w:rPr>
              <w:t>Agree and endorse policies and procedures.</w:t>
            </w:r>
            <w:r>
              <w:rPr>
                <w:rFonts w:asciiTheme="minorHAnsi" w:hAnsiTheme="minorHAnsi" w:cstheme="minorHAnsi"/>
                <w:sz w:val="20"/>
                <w:szCs w:val="20"/>
                <w:lang w:eastAsia="en-ZA"/>
              </w:rPr>
              <w:t xml:space="preserve"> </w:t>
            </w:r>
          </w:p>
        </w:tc>
        <w:tc>
          <w:tcPr>
            <w:tcW w:w="1184" w:type="pct"/>
            <w:shd w:val="clear" w:color="auto" w:fill="BED3E4"/>
          </w:tcPr>
          <w:p w14:paraId="6F46457B"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lang w:eastAsia="en-ZA"/>
              </w:rPr>
            </w:pPr>
            <w:r>
              <w:rPr>
                <w:rFonts w:asciiTheme="minorHAnsi" w:hAnsiTheme="minorHAnsi" w:cstheme="minorHAnsi"/>
                <w:sz w:val="20"/>
                <w:szCs w:val="20"/>
                <w:lang w:eastAsia="en-ZA"/>
              </w:rPr>
              <w:t>Defined and approved policies and procedures should support MMM in achieving a well-functioning Municipality.  There are also imperative to achieve performance management and consequence management objectives as it provides a guideline against which to hold officials accountable for their actions.  It was found during consultation and assessment of the 2020 Status Quo that policies are outdated and last reviewed during 2017 and there is no clarity on who is responsible for drafting and reviewing policies.</w:t>
            </w:r>
          </w:p>
        </w:tc>
        <w:tc>
          <w:tcPr>
            <w:tcW w:w="1179" w:type="pct"/>
            <w:shd w:val="clear" w:color="auto" w:fill="BED3E4"/>
          </w:tcPr>
          <w:p w14:paraId="75E47D56" w14:textId="77777777" w:rsidR="005A6DBB" w:rsidRDefault="00F93099">
            <w:pPr>
              <w:keepNext/>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Non-Compliance with laws and regulations.  </w:t>
            </w:r>
          </w:p>
          <w:p w14:paraId="59A93D9C" w14:textId="77777777" w:rsidR="005A6DBB" w:rsidRDefault="00F93099">
            <w:pPr>
              <w:keepNext/>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Poor controls in place to manage overtime. </w:t>
            </w:r>
          </w:p>
          <w:p w14:paraId="4CAD5CC4" w14:textId="77777777" w:rsidR="005A6DBB" w:rsidRDefault="00F93099">
            <w:pPr>
              <w:pStyle w:val="ListParagraph"/>
              <w:keepNext/>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No consequence management on breach of policy.</w:t>
            </w:r>
          </w:p>
          <w:p w14:paraId="31CCB5E7" w14:textId="77777777" w:rsidR="005A6DBB" w:rsidRDefault="005A6DBB">
            <w:pPr>
              <w:pStyle w:val="ListParagraph"/>
              <w:keepNext/>
              <w:autoSpaceDE w:val="0"/>
              <w:autoSpaceDN w:val="0"/>
              <w:adjustRightInd w:val="0"/>
              <w:spacing w:before="120" w:after="120" w:line="360" w:lineRule="auto"/>
              <w:ind w:left="0"/>
              <w:contextualSpacing w:val="0"/>
              <w:rPr>
                <w:rFonts w:asciiTheme="minorHAnsi" w:hAnsiTheme="minorHAnsi" w:cstheme="minorHAnsi"/>
                <w:sz w:val="20"/>
                <w:szCs w:val="20"/>
              </w:rPr>
            </w:pPr>
          </w:p>
        </w:tc>
        <w:tc>
          <w:tcPr>
            <w:tcW w:w="1319" w:type="pct"/>
            <w:shd w:val="clear" w:color="auto" w:fill="BED3E4"/>
          </w:tcPr>
          <w:p w14:paraId="156B2B93" w14:textId="77777777" w:rsidR="005A6DBB" w:rsidRDefault="00F93099">
            <w:pPr>
              <w:pStyle w:val="ListParagraph"/>
              <w:keepNext/>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 xml:space="preserve">The adoption and periodic review of applicable policies </w:t>
            </w:r>
          </w:p>
          <w:p w14:paraId="4B7352E9" w14:textId="77777777" w:rsidR="005A6DBB" w:rsidRDefault="00F93099">
            <w:pPr>
              <w:pStyle w:val="ListParagraph"/>
              <w:keepNext/>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rPr>
              <w:t>Implementation of policies and legislation.</w:t>
            </w:r>
          </w:p>
        </w:tc>
      </w:tr>
    </w:tbl>
    <w:p w14:paraId="210BC3B4" w14:textId="77777777" w:rsidR="005A6DBB" w:rsidRDefault="00F93099">
      <w:pPr>
        <w:spacing w:before="120" w:after="120"/>
        <w:rPr>
          <w:lang w:val="en-US"/>
        </w:rPr>
      </w:pPr>
      <w:r>
        <w:rPr>
          <w:lang w:val="en-US"/>
        </w:rPr>
        <w:t>The areas identified above will then be used as a basis for determining the status quo with regard to institution and governance at MMM.</w:t>
      </w:r>
      <w:r>
        <w:rPr>
          <w:color w:val="FF0000"/>
          <w:lang w:val="en-US"/>
        </w:rPr>
        <w:t xml:space="preserve"> </w:t>
      </w:r>
      <w:r>
        <w:rPr>
          <w:lang w:val="en-US"/>
        </w:rPr>
        <w:t>Human Resources Management role is currently compromising the integrity of the organisation, it remains dysfunctional, and in the absence of any new or reviewed policy the approved existing policy should be enforced so as to show potential policy gaps and risks to be mitigated.  Consequence management remains a management responsibility and failure to excise this responsibility is derogation in law, meaning you suppress existing policies.  Need for a comprehensive change management program cannot be over emphasised in this regard.</w:t>
      </w:r>
    </w:p>
    <w:p w14:paraId="2A434B43" w14:textId="77777777" w:rsidR="005A6DBB" w:rsidRDefault="005A6DBB">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sectPr w:rsidR="005A6DBB">
          <w:headerReference w:type="default" r:id="rId29"/>
          <w:footerReference w:type="default" r:id="rId30"/>
          <w:headerReference w:type="first" r:id="rId31"/>
          <w:footerReference w:type="first" r:id="rId32"/>
          <w:pgSz w:w="16838" w:h="11906" w:orient="landscape"/>
          <w:pgMar w:top="1418" w:right="1418" w:bottom="1276" w:left="1418" w:header="850" w:footer="0" w:gutter="0"/>
          <w:cols w:space="720"/>
          <w:titlePg/>
          <w:docGrid w:linePitch="360"/>
        </w:sectPr>
      </w:pPr>
    </w:p>
    <w:p w14:paraId="72AB0D4C"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24" w:name="_Toc137732207"/>
      <w:r>
        <w:rPr>
          <w:rFonts w:cs="Arial"/>
          <w:b/>
          <w:szCs w:val="26"/>
        </w:rPr>
        <w:t>LEADERSHIP AND MANAGEMENT</w:t>
      </w:r>
      <w:bookmarkEnd w:id="24"/>
    </w:p>
    <w:p w14:paraId="272A1326" w14:textId="77777777" w:rsidR="005A6DBB" w:rsidRDefault="00F93099">
      <w:pPr>
        <w:spacing w:before="120" w:after="120"/>
        <w:rPr>
          <w:lang w:val="en-US"/>
        </w:rPr>
      </w:pPr>
      <w:r>
        <w:rPr>
          <w:lang w:val="en-US"/>
        </w:rPr>
        <w:t xml:space="preserve">The Municipal Structures Act (117 of 1998) and the Municipal Systems Act (32 of 2000) clearly stipulate the internal functioning of internal Municipal structures.  These include both the political and administrative structures.  Mangaung has been marred with instability in both the administrative and political spheres.  Notably, the Section 56 positions have been vacant and there are acting or deployed incumbents in these critical positions.  The lack of filling of key senior management positions is affecting the </w:t>
      </w:r>
      <w:proofErr w:type="spellStart"/>
      <w:r>
        <w:rPr>
          <w:lang w:val="en-US"/>
        </w:rPr>
        <w:t>organisation’s</w:t>
      </w:r>
      <w:proofErr w:type="spellEnd"/>
      <w:r>
        <w:rPr>
          <w:lang w:val="en-US"/>
        </w:rPr>
        <w:t xml:space="preserve"> stability and acting incumbents do not have the necessary authority to make critical and bold decisions including the implementation of the activities as envisaged in the FRP, as was evident from the previous FRP’s.  </w:t>
      </w:r>
    </w:p>
    <w:p w14:paraId="142D5A12" w14:textId="77777777" w:rsidR="005A6DBB" w:rsidRDefault="00F93099">
      <w:pPr>
        <w:spacing w:before="120" w:after="120"/>
        <w:rPr>
          <w:lang w:val="en-US"/>
        </w:rPr>
      </w:pPr>
      <w:r>
        <w:rPr>
          <w:lang w:val="en-US"/>
        </w:rPr>
        <w:t>The non-filling of key managerial positions could be the root cause of the AG’s finding which is as follows:  “I was unable to obtain sufficient appropriate audit evidence for expenditure relating to overtime, shift and standby allowances included in employee-related costs, as inadequate processes were in place to ensure that a need was established for overtime to be worked or that overtime was actually worked by the Municipal officials.  I was unable to confirm overtime, shift and standby allowances by alternative means.  Consequently, I was unable to determine whether any adjustments were necessary to overtime, shift and standby allowances, stated at R182 066 600 in note 43 to the financial statements”.  The appointment of effective personnel at management level, coupled with the requisite skills set and the enforcement of policies and procedures with consequence management creates the basis for a stable work environment and contributes to the effective management and control of overtime and employee related costs.  These costs, if not effectively managed, can easily contribute to the demise of the financial sustainability of a Municipality.</w:t>
      </w:r>
    </w:p>
    <w:p w14:paraId="2AE52009" w14:textId="77777777" w:rsidR="005A6DBB" w:rsidRDefault="00F93099">
      <w:pPr>
        <w:spacing w:before="120" w:after="120"/>
        <w:rPr>
          <w:lang w:val="en-US"/>
        </w:rPr>
      </w:pPr>
      <w:r>
        <w:rPr>
          <w:lang w:val="en-US"/>
        </w:rPr>
        <w:t xml:space="preserve">In the 2021 South African municipal elections of 1 November 2021 the African National Congress (ANC) won a majority of 51 seats on the council out of a possible 101.  There is severe political and administrative instability in MMM, which contributes to the lack of service delivery.  </w:t>
      </w:r>
    </w:p>
    <w:p w14:paraId="330AB54A" w14:textId="77777777" w:rsidR="005A6DBB" w:rsidRDefault="00F93099">
      <w:pPr>
        <w:spacing w:before="120" w:after="120"/>
        <w:rPr>
          <w:lang w:val="en-US"/>
        </w:rPr>
      </w:pPr>
      <w:r>
        <w:rPr>
          <w:lang w:val="en-US"/>
        </w:rPr>
        <w:t xml:space="preserve">Afrikan Alliance of Social Democrats leader, Pappie Mokoena has been elected the new mayor of MMM during April 2023, which is under dispute at the moment, creating further uncertainty.  </w:t>
      </w:r>
    </w:p>
    <w:p w14:paraId="3CD99E51"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25" w:name="_Toc137732208"/>
      <w:r>
        <w:rPr>
          <w:rFonts w:cs="Arial"/>
          <w:b/>
          <w:szCs w:val="26"/>
        </w:rPr>
        <w:t>ORGANISATIONAL STRUCTURE</w:t>
      </w:r>
      <w:bookmarkEnd w:id="25"/>
    </w:p>
    <w:p w14:paraId="039B5961" w14:textId="77777777" w:rsidR="005A6DBB" w:rsidRDefault="00F93099">
      <w:pPr>
        <w:spacing w:before="120" w:after="120"/>
        <w:rPr>
          <w:lang w:val="en-US"/>
        </w:rPr>
      </w:pPr>
      <w:r>
        <w:rPr>
          <w:lang w:val="en-US"/>
        </w:rPr>
        <w:t>The organogram was adopted in 2016 and it seems to be the guiding document in the organisation.  The 2022 status quo indicated that the process of review of the organisational structure has commenced, and per our consultation process with MMM during February 2023 this review has not been finalised.  Notwithstanding the finalisation of the review of the organisational structure and without conducting a functional efficacy process (organisational review) in line with emerging priorities, the existing organogram seems to be in line with most organisational structures in most Municipalities.  There is however an issue of concern with regard to the span of control of the City Manager who seems to have 11 direct reports against an ideal of 6 managers reporting to the City Managers.  As indicated, this seems to be the norm in most Municipalities however need to be reviewed and aligned to the approved organisational structure..</w:t>
      </w:r>
    </w:p>
    <w:p w14:paraId="79C08A71" w14:textId="77777777" w:rsidR="005A6DBB" w:rsidRDefault="00F93099">
      <w:pPr>
        <w:spacing w:before="120" w:after="120"/>
        <w:rPr>
          <w:lang w:val="en-US"/>
        </w:rPr>
      </w:pPr>
      <w:r>
        <w:rPr>
          <w:lang w:val="en-US"/>
        </w:rPr>
        <w:t xml:space="preserve">The 2022 status quo review identified the absence of the </w:t>
      </w:r>
      <w:proofErr w:type="spellStart"/>
      <w:r>
        <w:rPr>
          <w:lang w:val="en-US"/>
        </w:rPr>
        <w:t>organisation’s</w:t>
      </w:r>
      <w:proofErr w:type="spellEnd"/>
      <w:r>
        <w:rPr>
          <w:lang w:val="en-US"/>
        </w:rPr>
        <w:t xml:space="preserve"> operating model, as defined by the Department of Public Service and Administration. </w:t>
      </w:r>
    </w:p>
    <w:p w14:paraId="6A8C17B2" w14:textId="77777777" w:rsidR="005A6DBB" w:rsidRDefault="00F93099">
      <w:pPr>
        <w:spacing w:before="120" w:after="120"/>
        <w:rPr>
          <w:lang w:val="en-US"/>
        </w:rPr>
      </w:pPr>
      <w:r>
        <w:rPr>
          <w:lang w:val="en-US"/>
        </w:rPr>
        <w:t xml:space="preserve">Linked to the organisational structure is an examination of the </w:t>
      </w:r>
      <w:proofErr w:type="spellStart"/>
      <w:r>
        <w:rPr>
          <w:lang w:val="en-US"/>
        </w:rPr>
        <w:t>organisation’s</w:t>
      </w:r>
      <w:proofErr w:type="spellEnd"/>
      <w:r>
        <w:rPr>
          <w:lang w:val="en-US"/>
        </w:rPr>
        <w:t xml:space="preserve"> vacancy rate.  The Auditor General’s report indicated that key positions  were at 91%.  They did not elaborate as to what positions they consider as key.  The below tables are abstracts from the Annual Report 2021/22 and stipulated MMM’s employment and vacant positions as follows:</w:t>
      </w:r>
    </w:p>
    <w:tbl>
      <w:tblPr>
        <w:tblStyle w:val="BSWordTable7"/>
        <w:tblW w:w="0" w:type="auto"/>
        <w:tblLook w:val="04A0" w:firstRow="1" w:lastRow="0" w:firstColumn="1" w:lastColumn="0" w:noHBand="0" w:noVBand="1"/>
      </w:tblPr>
      <w:tblGrid>
        <w:gridCol w:w="4600"/>
        <w:gridCol w:w="2301"/>
        <w:gridCol w:w="2301"/>
      </w:tblGrid>
      <w:tr w:rsidR="005A6DBB" w14:paraId="159435B4" w14:textId="77777777" w:rsidTr="005A6DBB">
        <w:trPr>
          <w:cnfStyle w:val="100000000000" w:firstRow="1" w:lastRow="0" w:firstColumn="0" w:lastColumn="0" w:oddVBand="0" w:evenVBand="0" w:oddHBand="0" w:evenHBand="0" w:firstRowFirstColumn="0" w:firstRowLastColumn="0" w:lastRowFirstColumn="0" w:lastRowLastColumn="0"/>
        </w:trPr>
        <w:tc>
          <w:tcPr>
            <w:tcW w:w="4600" w:type="dxa"/>
            <w:tcBorders>
              <w:right w:val="single" w:sz="2" w:space="0" w:color="FFFFFF"/>
            </w:tcBorders>
            <w:shd w:val="clear" w:color="auto" w:fill="002060"/>
          </w:tcPr>
          <w:p w14:paraId="1B75F13E" w14:textId="77777777" w:rsidR="005A6DBB" w:rsidRDefault="00F93099">
            <w:pPr>
              <w:spacing w:before="120" w:after="120"/>
              <w:jc w:val="center"/>
              <w:rPr>
                <w:rFonts w:asciiTheme="minorHAnsi" w:hAnsiTheme="minorHAnsi" w:cstheme="minorHAnsi"/>
                <w:b w:val="0"/>
                <w:sz w:val="18"/>
                <w:szCs w:val="18"/>
                <w:lang w:val="en-US" w:eastAsia="en-ZA"/>
              </w:rPr>
            </w:pPr>
            <w:r>
              <w:rPr>
                <w:rFonts w:asciiTheme="minorHAnsi" w:hAnsiTheme="minorHAnsi" w:cstheme="minorHAnsi"/>
                <w:sz w:val="18"/>
                <w:szCs w:val="18"/>
                <w:lang w:val="en-US" w:eastAsia="en-ZA"/>
              </w:rPr>
              <w:t>Designation</w:t>
            </w:r>
          </w:p>
        </w:tc>
        <w:tc>
          <w:tcPr>
            <w:tcW w:w="2301" w:type="dxa"/>
            <w:tcBorders>
              <w:right w:val="single" w:sz="2" w:space="0" w:color="FFFFFF"/>
            </w:tcBorders>
            <w:shd w:val="clear" w:color="auto" w:fill="002060"/>
          </w:tcPr>
          <w:p w14:paraId="16B48861" w14:textId="77777777" w:rsidR="005A6DBB" w:rsidRDefault="00F93099">
            <w:pPr>
              <w:spacing w:before="120" w:after="120"/>
              <w:jc w:val="center"/>
              <w:rPr>
                <w:rFonts w:asciiTheme="minorHAnsi" w:hAnsiTheme="minorHAnsi" w:cstheme="minorHAnsi"/>
                <w:b w:val="0"/>
                <w:sz w:val="18"/>
                <w:szCs w:val="18"/>
                <w:lang w:val="en-US" w:eastAsia="en-ZA"/>
              </w:rPr>
            </w:pPr>
            <w:r>
              <w:rPr>
                <w:sz w:val="18"/>
                <w:szCs w:val="18"/>
                <w:lang w:eastAsia="en-ZA"/>
              </w:rPr>
              <w:t>Total No Approved Posts</w:t>
            </w:r>
          </w:p>
        </w:tc>
        <w:tc>
          <w:tcPr>
            <w:tcW w:w="2301" w:type="dxa"/>
            <w:shd w:val="clear" w:color="auto" w:fill="002060"/>
          </w:tcPr>
          <w:p w14:paraId="26E0B533" w14:textId="77777777" w:rsidR="005A6DBB" w:rsidRDefault="00F93099">
            <w:pPr>
              <w:spacing w:before="120" w:after="120"/>
              <w:jc w:val="center"/>
              <w:rPr>
                <w:rFonts w:asciiTheme="minorHAnsi" w:hAnsiTheme="minorHAnsi" w:cstheme="minorHAnsi"/>
                <w:b w:val="0"/>
                <w:sz w:val="18"/>
                <w:szCs w:val="18"/>
                <w:lang w:val="en-US" w:eastAsia="en-ZA"/>
              </w:rPr>
            </w:pPr>
            <w:r>
              <w:rPr>
                <w:rFonts w:asciiTheme="minorHAnsi" w:hAnsiTheme="minorHAnsi" w:cstheme="minorHAnsi"/>
                <w:sz w:val="18"/>
                <w:szCs w:val="18"/>
                <w:lang w:val="en-US" w:eastAsia="en-ZA"/>
              </w:rPr>
              <w:t>No. Vacancies</w:t>
            </w:r>
          </w:p>
        </w:tc>
      </w:tr>
      <w:tr w:rsidR="005A6DBB" w14:paraId="778E55D6" w14:textId="77777777" w:rsidTr="005A6DBB">
        <w:tc>
          <w:tcPr>
            <w:tcW w:w="4600" w:type="dxa"/>
            <w:tcBorders>
              <w:top w:val="nil"/>
              <w:left w:val="nil"/>
              <w:bottom w:val="nil"/>
              <w:right w:val="single" w:sz="2" w:space="0" w:color="FFFFFF"/>
              <w:tl2br w:val="nil"/>
              <w:tr2bl w:val="nil"/>
            </w:tcBorders>
            <w:shd w:val="clear" w:color="auto" w:fill="D4E1ED"/>
          </w:tcPr>
          <w:p w14:paraId="71DCFB80" w14:textId="77777777" w:rsidR="005A6DBB" w:rsidRDefault="00F93099">
            <w:pPr>
              <w:spacing w:before="120" w:after="120"/>
              <w:rPr>
                <w:rFonts w:asciiTheme="minorHAnsi" w:hAnsiTheme="minorHAnsi" w:cstheme="minorHAnsi"/>
                <w:sz w:val="18"/>
                <w:szCs w:val="18"/>
                <w:lang w:val="en-US" w:eastAsia="en-ZA"/>
              </w:rPr>
            </w:pPr>
            <w:r>
              <w:rPr>
                <w:sz w:val="18"/>
                <w:szCs w:val="18"/>
                <w:lang w:eastAsia="en-ZA"/>
              </w:rPr>
              <w:t>Municipal Manager</w:t>
            </w:r>
          </w:p>
        </w:tc>
        <w:tc>
          <w:tcPr>
            <w:tcW w:w="2301" w:type="dxa"/>
            <w:tcBorders>
              <w:top w:val="nil"/>
              <w:bottom w:val="nil"/>
              <w:right w:val="single" w:sz="2" w:space="0" w:color="FFFFFF"/>
              <w:tl2br w:val="nil"/>
              <w:tr2bl w:val="nil"/>
            </w:tcBorders>
            <w:shd w:val="clear" w:color="auto" w:fill="D4E1ED"/>
            <w:vAlign w:val="center"/>
          </w:tcPr>
          <w:p w14:paraId="45A957C8"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w:t>
            </w:r>
          </w:p>
        </w:tc>
        <w:tc>
          <w:tcPr>
            <w:tcW w:w="2301" w:type="dxa"/>
            <w:tcBorders>
              <w:top w:val="nil"/>
              <w:bottom w:val="nil"/>
              <w:right w:val="nil"/>
              <w:tl2br w:val="nil"/>
              <w:tr2bl w:val="nil"/>
            </w:tcBorders>
            <w:shd w:val="clear" w:color="auto" w:fill="D4E1ED"/>
            <w:vAlign w:val="center"/>
          </w:tcPr>
          <w:p w14:paraId="0C997E48"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w:t>
            </w:r>
          </w:p>
        </w:tc>
      </w:tr>
      <w:tr w:rsidR="005A6DBB" w14:paraId="26E28C84" w14:textId="77777777" w:rsidTr="005A6DBB">
        <w:tc>
          <w:tcPr>
            <w:tcW w:w="4600" w:type="dxa"/>
            <w:tcBorders>
              <w:top w:val="nil"/>
              <w:left w:val="nil"/>
              <w:bottom w:val="nil"/>
              <w:right w:val="single" w:sz="2" w:space="0" w:color="FFFFFF"/>
              <w:tl2br w:val="nil"/>
              <w:tr2bl w:val="nil"/>
            </w:tcBorders>
            <w:shd w:val="clear" w:color="auto" w:fill="BED3E4"/>
          </w:tcPr>
          <w:p w14:paraId="2A7FF019" w14:textId="77777777" w:rsidR="005A6DBB" w:rsidRDefault="00F93099">
            <w:pPr>
              <w:spacing w:before="120" w:after="120"/>
              <w:rPr>
                <w:rFonts w:asciiTheme="minorHAnsi" w:hAnsiTheme="minorHAnsi" w:cstheme="minorHAnsi"/>
                <w:sz w:val="18"/>
                <w:szCs w:val="18"/>
                <w:lang w:val="en-US" w:eastAsia="en-ZA"/>
              </w:rPr>
            </w:pPr>
            <w:r>
              <w:rPr>
                <w:sz w:val="18"/>
                <w:szCs w:val="18"/>
                <w:lang w:eastAsia="en-ZA"/>
              </w:rPr>
              <w:t>CFO</w:t>
            </w:r>
          </w:p>
        </w:tc>
        <w:tc>
          <w:tcPr>
            <w:tcW w:w="2301" w:type="dxa"/>
            <w:tcBorders>
              <w:top w:val="nil"/>
              <w:bottom w:val="nil"/>
              <w:right w:val="single" w:sz="2" w:space="0" w:color="FFFFFF"/>
              <w:tl2br w:val="nil"/>
              <w:tr2bl w:val="nil"/>
            </w:tcBorders>
            <w:shd w:val="clear" w:color="auto" w:fill="BED3E4"/>
            <w:vAlign w:val="center"/>
          </w:tcPr>
          <w:p w14:paraId="092AC494"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w:t>
            </w:r>
          </w:p>
        </w:tc>
        <w:tc>
          <w:tcPr>
            <w:tcW w:w="2301" w:type="dxa"/>
            <w:tcBorders>
              <w:top w:val="nil"/>
              <w:bottom w:val="nil"/>
              <w:right w:val="nil"/>
              <w:tl2br w:val="nil"/>
              <w:tr2bl w:val="nil"/>
            </w:tcBorders>
            <w:shd w:val="clear" w:color="auto" w:fill="BED3E4"/>
            <w:vAlign w:val="center"/>
          </w:tcPr>
          <w:p w14:paraId="48C41EE8"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w:t>
            </w:r>
          </w:p>
        </w:tc>
      </w:tr>
      <w:tr w:rsidR="005A6DBB" w14:paraId="6428DE55" w14:textId="77777777" w:rsidTr="005A6DBB">
        <w:tc>
          <w:tcPr>
            <w:tcW w:w="4600" w:type="dxa"/>
            <w:tcBorders>
              <w:top w:val="nil"/>
              <w:left w:val="nil"/>
              <w:bottom w:val="nil"/>
              <w:right w:val="single" w:sz="2" w:space="0" w:color="FFFFFF"/>
              <w:tl2br w:val="nil"/>
              <w:tr2bl w:val="nil"/>
            </w:tcBorders>
            <w:shd w:val="clear" w:color="auto" w:fill="D4E1ED"/>
          </w:tcPr>
          <w:p w14:paraId="5C355C73" w14:textId="77777777" w:rsidR="005A6DBB" w:rsidRDefault="00F93099">
            <w:pPr>
              <w:spacing w:before="120" w:after="120"/>
              <w:rPr>
                <w:rFonts w:asciiTheme="minorHAnsi" w:hAnsiTheme="minorHAnsi" w:cstheme="minorHAnsi"/>
                <w:sz w:val="18"/>
                <w:szCs w:val="18"/>
                <w:lang w:val="en-US" w:eastAsia="en-ZA"/>
              </w:rPr>
            </w:pPr>
            <w:r>
              <w:rPr>
                <w:sz w:val="18"/>
                <w:szCs w:val="18"/>
                <w:lang w:eastAsia="en-ZA"/>
              </w:rPr>
              <w:t>Other S57 Managers (excluding Finance Posts)</w:t>
            </w:r>
          </w:p>
        </w:tc>
        <w:tc>
          <w:tcPr>
            <w:tcW w:w="2301" w:type="dxa"/>
            <w:tcBorders>
              <w:top w:val="nil"/>
              <w:bottom w:val="nil"/>
              <w:right w:val="single" w:sz="2" w:space="0" w:color="FFFFFF"/>
              <w:tl2br w:val="nil"/>
              <w:tr2bl w:val="nil"/>
            </w:tcBorders>
            <w:shd w:val="clear" w:color="auto" w:fill="D4E1ED"/>
            <w:vAlign w:val="center"/>
          </w:tcPr>
          <w:p w14:paraId="06287FF9" w14:textId="77777777" w:rsidR="005A6DBB" w:rsidRDefault="00F93099">
            <w:pPr>
              <w:spacing w:before="120" w:after="120"/>
              <w:jc w:val="right"/>
              <w:rPr>
                <w:rFonts w:asciiTheme="minorHAnsi" w:hAnsiTheme="minorHAnsi" w:cstheme="minorHAnsi"/>
                <w:sz w:val="18"/>
                <w:szCs w:val="18"/>
                <w:lang w:val="en-US" w:eastAsia="en-ZA"/>
              </w:rPr>
            </w:pPr>
            <w:r>
              <w:rPr>
                <w:sz w:val="18"/>
                <w:szCs w:val="18"/>
                <w:lang w:eastAsia="en-ZA"/>
              </w:rPr>
              <w:t>9</w:t>
            </w:r>
          </w:p>
        </w:tc>
        <w:tc>
          <w:tcPr>
            <w:tcW w:w="2301" w:type="dxa"/>
            <w:tcBorders>
              <w:top w:val="nil"/>
              <w:bottom w:val="nil"/>
              <w:right w:val="nil"/>
              <w:tl2br w:val="nil"/>
              <w:tr2bl w:val="nil"/>
            </w:tcBorders>
            <w:shd w:val="clear" w:color="auto" w:fill="D4E1ED"/>
            <w:vAlign w:val="center"/>
          </w:tcPr>
          <w:p w14:paraId="5AC21EEA"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8</w:t>
            </w:r>
          </w:p>
        </w:tc>
      </w:tr>
      <w:tr w:rsidR="005A6DBB" w14:paraId="5A658D47" w14:textId="77777777" w:rsidTr="005A6DBB">
        <w:tc>
          <w:tcPr>
            <w:tcW w:w="4600" w:type="dxa"/>
            <w:tcBorders>
              <w:top w:val="nil"/>
              <w:left w:val="nil"/>
              <w:bottom w:val="nil"/>
              <w:right w:val="single" w:sz="2" w:space="0" w:color="FFFFFF"/>
              <w:tl2br w:val="nil"/>
              <w:tr2bl w:val="nil"/>
            </w:tcBorders>
            <w:shd w:val="clear" w:color="auto" w:fill="BED3E4"/>
          </w:tcPr>
          <w:p w14:paraId="0EE64F3B" w14:textId="77777777" w:rsidR="005A6DBB" w:rsidRDefault="00F93099">
            <w:pPr>
              <w:spacing w:before="120" w:after="120"/>
              <w:rPr>
                <w:rFonts w:asciiTheme="minorHAnsi" w:hAnsiTheme="minorHAnsi" w:cstheme="minorHAnsi"/>
                <w:sz w:val="18"/>
                <w:szCs w:val="18"/>
                <w:lang w:val="en-US" w:eastAsia="en-ZA"/>
              </w:rPr>
            </w:pPr>
            <w:r>
              <w:rPr>
                <w:sz w:val="18"/>
                <w:szCs w:val="18"/>
                <w:lang w:eastAsia="en-ZA"/>
              </w:rPr>
              <w:t>Other S57 Managers (Finance posts)</w:t>
            </w:r>
          </w:p>
        </w:tc>
        <w:tc>
          <w:tcPr>
            <w:tcW w:w="2301" w:type="dxa"/>
            <w:tcBorders>
              <w:top w:val="nil"/>
              <w:bottom w:val="nil"/>
              <w:right w:val="single" w:sz="2" w:space="0" w:color="FFFFFF"/>
              <w:tl2br w:val="nil"/>
              <w:tr2bl w:val="nil"/>
            </w:tcBorders>
            <w:shd w:val="clear" w:color="auto" w:fill="BED3E4"/>
            <w:vAlign w:val="center"/>
          </w:tcPr>
          <w:p w14:paraId="347A3093"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0</w:t>
            </w:r>
          </w:p>
        </w:tc>
        <w:tc>
          <w:tcPr>
            <w:tcW w:w="2301" w:type="dxa"/>
            <w:tcBorders>
              <w:top w:val="nil"/>
              <w:bottom w:val="nil"/>
              <w:right w:val="nil"/>
              <w:tl2br w:val="nil"/>
              <w:tr2bl w:val="nil"/>
            </w:tcBorders>
            <w:shd w:val="clear" w:color="auto" w:fill="BED3E4"/>
            <w:vAlign w:val="center"/>
          </w:tcPr>
          <w:p w14:paraId="4EA63C56"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0</w:t>
            </w:r>
          </w:p>
        </w:tc>
      </w:tr>
      <w:tr w:rsidR="005A6DBB" w14:paraId="5FAFC881" w14:textId="77777777" w:rsidTr="005A6DBB">
        <w:tc>
          <w:tcPr>
            <w:tcW w:w="4600" w:type="dxa"/>
            <w:tcBorders>
              <w:top w:val="nil"/>
              <w:left w:val="nil"/>
              <w:bottom w:val="nil"/>
              <w:right w:val="single" w:sz="2" w:space="0" w:color="FFFFFF"/>
              <w:tl2br w:val="nil"/>
              <w:tr2bl w:val="nil"/>
            </w:tcBorders>
            <w:shd w:val="clear" w:color="auto" w:fill="D4E1ED"/>
          </w:tcPr>
          <w:p w14:paraId="04E9B510" w14:textId="77777777" w:rsidR="005A6DBB" w:rsidRDefault="00F93099">
            <w:pPr>
              <w:spacing w:before="120" w:after="120"/>
              <w:rPr>
                <w:rFonts w:asciiTheme="minorHAnsi" w:hAnsiTheme="minorHAnsi" w:cstheme="minorHAnsi"/>
                <w:sz w:val="18"/>
                <w:szCs w:val="18"/>
                <w:lang w:val="en-US" w:eastAsia="en-ZA"/>
              </w:rPr>
            </w:pPr>
            <w:r>
              <w:rPr>
                <w:sz w:val="18"/>
                <w:szCs w:val="18"/>
                <w:lang w:eastAsia="en-ZA"/>
              </w:rPr>
              <w:t>Traffic officers</w:t>
            </w:r>
          </w:p>
        </w:tc>
        <w:tc>
          <w:tcPr>
            <w:tcW w:w="2301" w:type="dxa"/>
            <w:tcBorders>
              <w:top w:val="nil"/>
              <w:bottom w:val="nil"/>
              <w:right w:val="single" w:sz="2" w:space="0" w:color="FFFFFF"/>
              <w:tl2br w:val="nil"/>
              <w:tr2bl w:val="nil"/>
            </w:tcBorders>
            <w:shd w:val="clear" w:color="auto" w:fill="D4E1ED"/>
            <w:vAlign w:val="center"/>
          </w:tcPr>
          <w:p w14:paraId="14D3D93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198</w:t>
            </w:r>
          </w:p>
        </w:tc>
        <w:tc>
          <w:tcPr>
            <w:tcW w:w="2301" w:type="dxa"/>
            <w:tcBorders>
              <w:top w:val="nil"/>
              <w:bottom w:val="nil"/>
              <w:right w:val="nil"/>
              <w:tl2br w:val="nil"/>
              <w:tr2bl w:val="nil"/>
            </w:tcBorders>
            <w:shd w:val="clear" w:color="auto" w:fill="D4E1ED"/>
            <w:vAlign w:val="center"/>
          </w:tcPr>
          <w:p w14:paraId="1E41DC5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56</w:t>
            </w:r>
          </w:p>
        </w:tc>
      </w:tr>
      <w:tr w:rsidR="005A6DBB" w14:paraId="7B31D72D" w14:textId="77777777" w:rsidTr="005A6DBB">
        <w:tc>
          <w:tcPr>
            <w:tcW w:w="4600" w:type="dxa"/>
            <w:tcBorders>
              <w:top w:val="nil"/>
              <w:left w:val="nil"/>
              <w:bottom w:val="nil"/>
              <w:right w:val="single" w:sz="2" w:space="0" w:color="FFFFFF"/>
              <w:tl2br w:val="nil"/>
              <w:tr2bl w:val="nil"/>
            </w:tcBorders>
            <w:shd w:val="clear" w:color="auto" w:fill="BED3E4"/>
          </w:tcPr>
          <w:p w14:paraId="75ABEC34" w14:textId="77777777" w:rsidR="005A6DBB" w:rsidRDefault="00F93099">
            <w:pPr>
              <w:spacing w:before="120" w:after="120"/>
              <w:rPr>
                <w:rFonts w:asciiTheme="minorHAnsi" w:hAnsiTheme="minorHAnsi" w:cstheme="minorHAnsi"/>
                <w:sz w:val="18"/>
                <w:szCs w:val="18"/>
                <w:lang w:eastAsia="en-ZA"/>
              </w:rPr>
            </w:pPr>
            <w:r>
              <w:rPr>
                <w:sz w:val="18"/>
                <w:szCs w:val="18"/>
                <w:lang w:eastAsia="en-ZA"/>
              </w:rPr>
              <w:t>Fire fighters</w:t>
            </w:r>
          </w:p>
        </w:tc>
        <w:tc>
          <w:tcPr>
            <w:tcW w:w="2301" w:type="dxa"/>
            <w:tcBorders>
              <w:top w:val="nil"/>
              <w:bottom w:val="nil"/>
              <w:right w:val="single" w:sz="2" w:space="0" w:color="FFFFFF"/>
              <w:tl2br w:val="nil"/>
              <w:tr2bl w:val="nil"/>
            </w:tcBorders>
            <w:shd w:val="clear" w:color="auto" w:fill="BED3E4"/>
            <w:vAlign w:val="center"/>
          </w:tcPr>
          <w:p w14:paraId="5F9183F2"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169</w:t>
            </w:r>
          </w:p>
        </w:tc>
        <w:tc>
          <w:tcPr>
            <w:tcW w:w="2301" w:type="dxa"/>
            <w:tcBorders>
              <w:top w:val="nil"/>
              <w:bottom w:val="nil"/>
              <w:right w:val="nil"/>
              <w:tl2br w:val="nil"/>
              <w:tr2bl w:val="nil"/>
            </w:tcBorders>
            <w:shd w:val="clear" w:color="auto" w:fill="BED3E4"/>
            <w:vAlign w:val="center"/>
          </w:tcPr>
          <w:p w14:paraId="6C7FBAE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69</w:t>
            </w:r>
          </w:p>
        </w:tc>
      </w:tr>
      <w:tr w:rsidR="005A6DBB" w14:paraId="1389DFE7" w14:textId="77777777" w:rsidTr="005A6DBB">
        <w:tc>
          <w:tcPr>
            <w:tcW w:w="4600" w:type="dxa"/>
            <w:tcBorders>
              <w:top w:val="nil"/>
              <w:left w:val="nil"/>
              <w:bottom w:val="nil"/>
              <w:right w:val="single" w:sz="2" w:space="0" w:color="FFFFFF"/>
              <w:tl2br w:val="nil"/>
              <w:tr2bl w:val="nil"/>
            </w:tcBorders>
            <w:shd w:val="clear" w:color="auto" w:fill="D4E1ED"/>
          </w:tcPr>
          <w:p w14:paraId="4218E072" w14:textId="77777777" w:rsidR="005A6DBB" w:rsidRDefault="00F93099">
            <w:pPr>
              <w:spacing w:before="120" w:after="120"/>
              <w:rPr>
                <w:rFonts w:asciiTheme="minorHAnsi" w:hAnsiTheme="minorHAnsi" w:cstheme="minorHAnsi"/>
                <w:sz w:val="18"/>
                <w:szCs w:val="18"/>
                <w:lang w:eastAsia="en-ZA"/>
              </w:rPr>
            </w:pPr>
            <w:r>
              <w:rPr>
                <w:sz w:val="18"/>
                <w:szCs w:val="18"/>
                <w:lang w:eastAsia="en-ZA"/>
              </w:rPr>
              <w:t>Senior management: Levels 002-003 (excluding Finance Posts)</w:t>
            </w:r>
          </w:p>
        </w:tc>
        <w:tc>
          <w:tcPr>
            <w:tcW w:w="2301" w:type="dxa"/>
            <w:tcBorders>
              <w:top w:val="nil"/>
              <w:bottom w:val="nil"/>
              <w:right w:val="single" w:sz="2" w:space="0" w:color="FFFFFF"/>
              <w:tl2br w:val="nil"/>
              <w:tr2bl w:val="nil"/>
            </w:tcBorders>
            <w:shd w:val="clear" w:color="auto" w:fill="D4E1ED"/>
            <w:vAlign w:val="center"/>
          </w:tcPr>
          <w:p w14:paraId="4F673C12"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243</w:t>
            </w:r>
          </w:p>
        </w:tc>
        <w:tc>
          <w:tcPr>
            <w:tcW w:w="2301" w:type="dxa"/>
            <w:tcBorders>
              <w:top w:val="nil"/>
              <w:bottom w:val="nil"/>
              <w:right w:val="nil"/>
              <w:tl2br w:val="nil"/>
              <w:tr2bl w:val="nil"/>
            </w:tcBorders>
            <w:shd w:val="clear" w:color="auto" w:fill="D4E1ED"/>
            <w:vAlign w:val="center"/>
          </w:tcPr>
          <w:p w14:paraId="46786364"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120</w:t>
            </w:r>
          </w:p>
        </w:tc>
      </w:tr>
      <w:tr w:rsidR="005A6DBB" w14:paraId="41536E0D" w14:textId="77777777" w:rsidTr="005A6DBB">
        <w:tc>
          <w:tcPr>
            <w:tcW w:w="4600" w:type="dxa"/>
            <w:tcBorders>
              <w:top w:val="nil"/>
              <w:left w:val="nil"/>
              <w:bottom w:val="nil"/>
              <w:right w:val="single" w:sz="2" w:space="0" w:color="FFFFFF"/>
              <w:tl2br w:val="nil"/>
              <w:tr2bl w:val="nil"/>
            </w:tcBorders>
            <w:shd w:val="clear" w:color="auto" w:fill="BED3E4"/>
          </w:tcPr>
          <w:p w14:paraId="2B5F5BF7" w14:textId="77777777" w:rsidR="005A6DBB" w:rsidRDefault="00F93099">
            <w:pPr>
              <w:spacing w:before="120" w:after="120"/>
              <w:rPr>
                <w:rFonts w:asciiTheme="minorHAnsi" w:hAnsiTheme="minorHAnsi" w:cstheme="minorHAnsi"/>
                <w:sz w:val="18"/>
                <w:szCs w:val="18"/>
                <w:lang w:eastAsia="en-ZA"/>
              </w:rPr>
            </w:pPr>
            <w:r>
              <w:rPr>
                <w:sz w:val="18"/>
                <w:szCs w:val="18"/>
                <w:lang w:eastAsia="en-ZA"/>
              </w:rPr>
              <w:t>Senior management: Levels 002-003 (Finance posts)</w:t>
            </w:r>
          </w:p>
        </w:tc>
        <w:tc>
          <w:tcPr>
            <w:tcW w:w="2301" w:type="dxa"/>
            <w:tcBorders>
              <w:top w:val="nil"/>
              <w:bottom w:val="nil"/>
              <w:right w:val="single" w:sz="2" w:space="0" w:color="FFFFFF"/>
              <w:tl2br w:val="nil"/>
              <w:tr2bl w:val="nil"/>
            </w:tcBorders>
            <w:shd w:val="clear" w:color="auto" w:fill="BED3E4"/>
            <w:vAlign w:val="center"/>
          </w:tcPr>
          <w:p w14:paraId="0457CB4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32</w:t>
            </w:r>
          </w:p>
        </w:tc>
        <w:tc>
          <w:tcPr>
            <w:tcW w:w="2301" w:type="dxa"/>
            <w:tcBorders>
              <w:top w:val="nil"/>
              <w:bottom w:val="nil"/>
              <w:right w:val="nil"/>
              <w:tl2br w:val="nil"/>
              <w:tr2bl w:val="nil"/>
            </w:tcBorders>
            <w:shd w:val="clear" w:color="auto" w:fill="BED3E4"/>
            <w:vAlign w:val="center"/>
          </w:tcPr>
          <w:p w14:paraId="371F2822"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18</w:t>
            </w:r>
          </w:p>
        </w:tc>
      </w:tr>
      <w:tr w:rsidR="005A6DBB" w14:paraId="507C7DEC" w14:textId="77777777" w:rsidTr="005A6DBB">
        <w:tc>
          <w:tcPr>
            <w:tcW w:w="4600" w:type="dxa"/>
            <w:tcBorders>
              <w:top w:val="nil"/>
              <w:left w:val="nil"/>
              <w:bottom w:val="nil"/>
              <w:right w:val="single" w:sz="2" w:space="0" w:color="FFFFFF"/>
              <w:tl2br w:val="nil"/>
              <w:tr2bl w:val="nil"/>
            </w:tcBorders>
            <w:shd w:val="clear" w:color="auto" w:fill="D4E1ED"/>
          </w:tcPr>
          <w:p w14:paraId="38B1D06D" w14:textId="77777777" w:rsidR="005A6DBB" w:rsidRDefault="00F93099">
            <w:pPr>
              <w:spacing w:before="120" w:after="120"/>
              <w:rPr>
                <w:rFonts w:asciiTheme="minorHAnsi" w:hAnsiTheme="minorHAnsi" w:cstheme="minorHAnsi"/>
                <w:sz w:val="18"/>
                <w:szCs w:val="18"/>
                <w:lang w:eastAsia="en-ZA"/>
              </w:rPr>
            </w:pPr>
            <w:r>
              <w:rPr>
                <w:sz w:val="18"/>
                <w:szCs w:val="18"/>
                <w:lang w:eastAsia="en-ZA"/>
              </w:rPr>
              <w:t>Highly skilled supervision: levels 004-006 (excluding Finance posts)</w:t>
            </w:r>
          </w:p>
        </w:tc>
        <w:tc>
          <w:tcPr>
            <w:tcW w:w="2301" w:type="dxa"/>
            <w:tcBorders>
              <w:top w:val="nil"/>
              <w:bottom w:val="nil"/>
              <w:right w:val="single" w:sz="2" w:space="0" w:color="FFFFFF"/>
              <w:tl2br w:val="nil"/>
              <w:tr2bl w:val="nil"/>
            </w:tcBorders>
            <w:shd w:val="clear" w:color="auto" w:fill="D4E1ED"/>
            <w:vAlign w:val="center"/>
          </w:tcPr>
          <w:p w14:paraId="1895A810"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895</w:t>
            </w:r>
          </w:p>
        </w:tc>
        <w:tc>
          <w:tcPr>
            <w:tcW w:w="2301" w:type="dxa"/>
            <w:tcBorders>
              <w:top w:val="nil"/>
              <w:bottom w:val="nil"/>
              <w:right w:val="nil"/>
              <w:tl2br w:val="nil"/>
              <w:tr2bl w:val="nil"/>
            </w:tcBorders>
            <w:shd w:val="clear" w:color="auto" w:fill="D4E1ED"/>
            <w:vAlign w:val="center"/>
          </w:tcPr>
          <w:p w14:paraId="405D25B6"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434</w:t>
            </w:r>
          </w:p>
        </w:tc>
      </w:tr>
      <w:tr w:rsidR="005A6DBB" w14:paraId="71E389FD" w14:textId="77777777" w:rsidTr="005A6DBB">
        <w:tc>
          <w:tcPr>
            <w:tcW w:w="4600" w:type="dxa"/>
            <w:tcBorders>
              <w:top w:val="nil"/>
              <w:left w:val="nil"/>
              <w:bottom w:val="nil"/>
              <w:right w:val="single" w:sz="2" w:space="0" w:color="FFFFFF"/>
              <w:tl2br w:val="nil"/>
              <w:tr2bl w:val="nil"/>
            </w:tcBorders>
            <w:shd w:val="clear" w:color="auto" w:fill="BED3E4"/>
          </w:tcPr>
          <w:p w14:paraId="52F7B986" w14:textId="77777777" w:rsidR="005A6DBB" w:rsidRDefault="00F93099">
            <w:pPr>
              <w:spacing w:before="120" w:after="120"/>
              <w:rPr>
                <w:rFonts w:asciiTheme="minorHAnsi" w:hAnsiTheme="minorHAnsi" w:cstheme="minorHAnsi"/>
                <w:sz w:val="18"/>
                <w:szCs w:val="18"/>
                <w:lang w:eastAsia="en-ZA"/>
              </w:rPr>
            </w:pPr>
            <w:r>
              <w:rPr>
                <w:sz w:val="18"/>
                <w:szCs w:val="18"/>
                <w:lang w:eastAsia="en-ZA"/>
              </w:rPr>
              <w:t>Highly skilled supervision: levels 004-006 (Finance posts)</w:t>
            </w:r>
          </w:p>
        </w:tc>
        <w:tc>
          <w:tcPr>
            <w:tcW w:w="2301" w:type="dxa"/>
            <w:tcBorders>
              <w:top w:val="nil"/>
              <w:bottom w:val="nil"/>
              <w:right w:val="single" w:sz="2" w:space="0" w:color="FFFFFF"/>
              <w:tl2br w:val="nil"/>
              <w:tr2bl w:val="nil"/>
            </w:tcBorders>
            <w:shd w:val="clear" w:color="auto" w:fill="BED3E4"/>
            <w:vAlign w:val="center"/>
          </w:tcPr>
          <w:p w14:paraId="04952E03"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83</w:t>
            </w:r>
          </w:p>
        </w:tc>
        <w:tc>
          <w:tcPr>
            <w:tcW w:w="2301" w:type="dxa"/>
            <w:tcBorders>
              <w:top w:val="nil"/>
              <w:bottom w:val="nil"/>
              <w:right w:val="nil"/>
              <w:tl2br w:val="nil"/>
              <w:tr2bl w:val="nil"/>
            </w:tcBorders>
            <w:shd w:val="clear" w:color="auto" w:fill="BED3E4"/>
            <w:vAlign w:val="center"/>
          </w:tcPr>
          <w:p w14:paraId="6A12E4E1"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44</w:t>
            </w:r>
          </w:p>
        </w:tc>
      </w:tr>
      <w:tr w:rsidR="005A6DBB" w14:paraId="0AB1A5DD" w14:textId="77777777" w:rsidTr="005A6DBB">
        <w:tc>
          <w:tcPr>
            <w:tcW w:w="4600" w:type="dxa"/>
            <w:tcBorders>
              <w:top w:val="nil"/>
              <w:left w:val="nil"/>
              <w:bottom w:val="nil"/>
              <w:right w:val="single" w:sz="2" w:space="0" w:color="FFFFFF"/>
              <w:tl2br w:val="nil"/>
              <w:tr2bl w:val="nil"/>
            </w:tcBorders>
            <w:shd w:val="clear" w:color="auto" w:fill="D4E1ED"/>
          </w:tcPr>
          <w:p w14:paraId="4131B196" w14:textId="77777777" w:rsidR="005A6DBB" w:rsidRDefault="00F93099">
            <w:pPr>
              <w:spacing w:before="120" w:after="120"/>
              <w:rPr>
                <w:rFonts w:asciiTheme="minorHAnsi" w:hAnsiTheme="minorHAnsi" w:cstheme="minorHAnsi"/>
                <w:b/>
                <w:bCs/>
                <w:sz w:val="18"/>
                <w:szCs w:val="18"/>
                <w:lang w:eastAsia="en-ZA"/>
              </w:rPr>
            </w:pPr>
            <w:r>
              <w:rPr>
                <w:rFonts w:asciiTheme="minorHAnsi" w:hAnsiTheme="minorHAnsi" w:cstheme="minorHAnsi"/>
                <w:b/>
                <w:bCs/>
                <w:sz w:val="18"/>
                <w:szCs w:val="18"/>
                <w:lang w:eastAsia="en-ZA"/>
              </w:rPr>
              <w:t>Totals</w:t>
            </w:r>
          </w:p>
        </w:tc>
        <w:tc>
          <w:tcPr>
            <w:tcW w:w="2301" w:type="dxa"/>
            <w:tcBorders>
              <w:top w:val="nil"/>
              <w:bottom w:val="nil"/>
              <w:right w:val="single" w:sz="2" w:space="0" w:color="FFFFFF"/>
              <w:tl2br w:val="nil"/>
              <w:tr2bl w:val="nil"/>
            </w:tcBorders>
            <w:shd w:val="clear" w:color="auto" w:fill="D4E1ED"/>
            <w:vAlign w:val="center"/>
          </w:tcPr>
          <w:p w14:paraId="2A7698F1" w14:textId="77777777" w:rsidR="005A6DBB" w:rsidRDefault="00F93099">
            <w:pPr>
              <w:spacing w:before="120" w:after="120"/>
              <w:jc w:val="right"/>
              <w:rPr>
                <w:rFonts w:asciiTheme="minorHAnsi" w:hAnsiTheme="minorHAnsi" w:cstheme="minorHAnsi"/>
                <w:b/>
                <w:bCs/>
                <w:sz w:val="18"/>
                <w:szCs w:val="18"/>
                <w:lang w:val="en-US" w:eastAsia="en-ZA"/>
              </w:rPr>
            </w:pPr>
            <w:r>
              <w:rPr>
                <w:rFonts w:asciiTheme="minorHAnsi" w:hAnsiTheme="minorHAnsi" w:cstheme="minorHAnsi"/>
                <w:b/>
                <w:bCs/>
                <w:sz w:val="18"/>
                <w:szCs w:val="18"/>
                <w:lang w:val="en-US" w:eastAsia="en-ZA"/>
              </w:rPr>
              <w:t>1 631</w:t>
            </w:r>
          </w:p>
        </w:tc>
        <w:tc>
          <w:tcPr>
            <w:tcW w:w="2301" w:type="dxa"/>
            <w:tcBorders>
              <w:top w:val="nil"/>
              <w:bottom w:val="nil"/>
              <w:right w:val="nil"/>
              <w:tl2br w:val="nil"/>
              <w:tr2bl w:val="nil"/>
            </w:tcBorders>
            <w:shd w:val="clear" w:color="auto" w:fill="D4E1ED"/>
            <w:vAlign w:val="center"/>
          </w:tcPr>
          <w:p w14:paraId="22D61A0A" w14:textId="77777777" w:rsidR="005A6DBB" w:rsidRDefault="00F93099">
            <w:pPr>
              <w:keepNext/>
              <w:spacing w:before="120" w:after="120"/>
              <w:jc w:val="right"/>
              <w:rPr>
                <w:rFonts w:asciiTheme="minorHAnsi" w:hAnsiTheme="minorHAnsi" w:cstheme="minorHAnsi"/>
                <w:b/>
                <w:bCs/>
                <w:sz w:val="18"/>
                <w:szCs w:val="18"/>
                <w:lang w:val="en-US" w:eastAsia="en-ZA"/>
              </w:rPr>
            </w:pPr>
            <w:r>
              <w:rPr>
                <w:rFonts w:asciiTheme="minorHAnsi" w:hAnsiTheme="minorHAnsi" w:cstheme="minorHAnsi"/>
                <w:b/>
                <w:bCs/>
                <w:sz w:val="18"/>
                <w:szCs w:val="18"/>
                <w:lang w:val="en-US" w:eastAsia="en-ZA"/>
              </w:rPr>
              <w:t>751</w:t>
            </w:r>
          </w:p>
        </w:tc>
      </w:tr>
    </w:tbl>
    <w:p w14:paraId="5C34B38D" w14:textId="57EF7C56" w:rsidR="005A6DBB" w:rsidRDefault="00F93099">
      <w:pPr>
        <w:pStyle w:val="Caption"/>
      </w:pPr>
      <w:r>
        <w:t xml:space="preserve">Table </w:t>
      </w:r>
      <w:r>
        <w:fldChar w:fldCharType="begin"/>
      </w:r>
      <w:r>
        <w:instrText xml:space="preserve"> SEQ Table \* ARABIC </w:instrText>
      </w:r>
      <w:r>
        <w:fldChar w:fldCharType="separate"/>
      </w:r>
      <w:r w:rsidR="00A564BE">
        <w:rPr>
          <w:noProof/>
        </w:rPr>
        <w:t>2</w:t>
      </w:r>
      <w:r>
        <w:fldChar w:fldCharType="end"/>
      </w:r>
      <w:r>
        <w:t xml:space="preserve"> - Vacancies</w:t>
      </w:r>
    </w:p>
    <w:p w14:paraId="6CD8FEC3" w14:textId="77777777" w:rsidR="005A6DBB" w:rsidRDefault="00F93099">
      <w:pPr>
        <w:spacing w:before="120" w:after="120"/>
        <w:rPr>
          <w:lang w:val="en-US"/>
        </w:rPr>
      </w:pPr>
      <w:r>
        <w:rPr>
          <w:lang w:val="en-US"/>
        </w:rPr>
        <w:t>The table below set out the current number of staff employed per department versus the total number of vacancies per department.</w:t>
      </w:r>
    </w:p>
    <w:tbl>
      <w:tblPr>
        <w:tblStyle w:val="BSWordTable7"/>
        <w:tblW w:w="0" w:type="auto"/>
        <w:tblLook w:val="04A0" w:firstRow="1" w:lastRow="0" w:firstColumn="1" w:lastColumn="0" w:noHBand="0" w:noVBand="1"/>
      </w:tblPr>
      <w:tblGrid>
        <w:gridCol w:w="4600"/>
        <w:gridCol w:w="2301"/>
        <w:gridCol w:w="2301"/>
      </w:tblGrid>
      <w:tr w:rsidR="005A6DBB" w14:paraId="621EBCBB" w14:textId="77777777" w:rsidTr="005A6DBB">
        <w:trPr>
          <w:cnfStyle w:val="100000000000" w:firstRow="1" w:lastRow="0" w:firstColumn="0" w:lastColumn="0" w:oddVBand="0" w:evenVBand="0" w:oddHBand="0" w:evenHBand="0" w:firstRowFirstColumn="0" w:firstRowLastColumn="0" w:lastRowFirstColumn="0" w:lastRowLastColumn="0"/>
        </w:trPr>
        <w:tc>
          <w:tcPr>
            <w:tcW w:w="4600" w:type="dxa"/>
            <w:tcBorders>
              <w:right w:val="single" w:sz="2" w:space="0" w:color="FFFFFF"/>
            </w:tcBorders>
            <w:shd w:val="clear" w:color="auto" w:fill="002060"/>
          </w:tcPr>
          <w:p w14:paraId="5BB2772C" w14:textId="77777777" w:rsidR="005A6DBB" w:rsidRDefault="00F93099">
            <w:pPr>
              <w:spacing w:before="120" w:after="120"/>
              <w:jc w:val="center"/>
              <w:rPr>
                <w:rFonts w:asciiTheme="minorHAnsi" w:hAnsiTheme="minorHAnsi" w:cstheme="minorHAnsi"/>
                <w:b w:val="0"/>
                <w:sz w:val="18"/>
                <w:szCs w:val="18"/>
                <w:lang w:val="en-US" w:eastAsia="en-ZA"/>
              </w:rPr>
            </w:pPr>
            <w:r>
              <w:rPr>
                <w:rFonts w:asciiTheme="minorHAnsi" w:hAnsiTheme="minorHAnsi" w:cstheme="minorHAnsi"/>
                <w:sz w:val="18"/>
                <w:szCs w:val="18"/>
                <w:lang w:val="en-US" w:eastAsia="en-ZA"/>
              </w:rPr>
              <w:t>Departments</w:t>
            </w:r>
          </w:p>
        </w:tc>
        <w:tc>
          <w:tcPr>
            <w:tcW w:w="4602" w:type="dxa"/>
            <w:gridSpan w:val="2"/>
            <w:shd w:val="clear" w:color="auto" w:fill="002060"/>
          </w:tcPr>
          <w:p w14:paraId="6892C865" w14:textId="77777777" w:rsidR="005A6DBB" w:rsidRDefault="00F93099">
            <w:pPr>
              <w:spacing w:before="120" w:after="120"/>
              <w:jc w:val="center"/>
              <w:rPr>
                <w:rFonts w:asciiTheme="minorHAnsi" w:hAnsiTheme="minorHAnsi" w:cstheme="minorHAnsi"/>
                <w:b w:val="0"/>
                <w:sz w:val="18"/>
                <w:szCs w:val="18"/>
                <w:lang w:val="en-US" w:eastAsia="en-ZA"/>
              </w:rPr>
            </w:pPr>
            <w:r>
              <w:rPr>
                <w:rFonts w:asciiTheme="minorHAnsi" w:hAnsiTheme="minorHAnsi" w:cstheme="minorHAnsi"/>
                <w:sz w:val="18"/>
                <w:szCs w:val="18"/>
                <w:lang w:val="en-US" w:eastAsia="en-ZA"/>
              </w:rPr>
              <w:t>Year 2021/22</w:t>
            </w:r>
          </w:p>
        </w:tc>
      </w:tr>
      <w:tr w:rsidR="005A6DBB" w14:paraId="017B15EB" w14:textId="77777777" w:rsidTr="005A6DBB">
        <w:tc>
          <w:tcPr>
            <w:tcW w:w="4600" w:type="dxa"/>
            <w:vMerge w:val="restart"/>
            <w:tcBorders>
              <w:top w:val="nil"/>
              <w:left w:val="nil"/>
              <w:bottom w:val="nil"/>
              <w:right w:val="single" w:sz="2" w:space="0" w:color="FFFFFF"/>
              <w:tl2br w:val="nil"/>
              <w:tr2bl w:val="nil"/>
            </w:tcBorders>
            <w:shd w:val="clear" w:color="auto" w:fill="002060"/>
          </w:tcPr>
          <w:p w14:paraId="503B3D4E" w14:textId="77777777" w:rsidR="005A6DBB" w:rsidRDefault="005A6DBB">
            <w:pPr>
              <w:spacing w:before="120" w:after="120"/>
              <w:rPr>
                <w:rFonts w:asciiTheme="minorHAnsi" w:hAnsiTheme="minorHAnsi" w:cstheme="minorHAnsi"/>
                <w:sz w:val="18"/>
                <w:szCs w:val="18"/>
                <w:lang w:val="en-US" w:eastAsia="en-ZA"/>
              </w:rPr>
            </w:pPr>
          </w:p>
        </w:tc>
        <w:tc>
          <w:tcPr>
            <w:tcW w:w="2301" w:type="dxa"/>
            <w:tcBorders>
              <w:top w:val="nil"/>
              <w:bottom w:val="nil"/>
              <w:right w:val="single" w:sz="2" w:space="0" w:color="FFFFFF"/>
              <w:tl2br w:val="nil"/>
              <w:tr2bl w:val="nil"/>
            </w:tcBorders>
            <w:shd w:val="clear" w:color="auto" w:fill="002060"/>
          </w:tcPr>
          <w:p w14:paraId="0BABBE58"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Employees</w:t>
            </w:r>
          </w:p>
        </w:tc>
        <w:tc>
          <w:tcPr>
            <w:tcW w:w="2301" w:type="dxa"/>
            <w:tcBorders>
              <w:top w:val="nil"/>
              <w:bottom w:val="nil"/>
              <w:right w:val="nil"/>
              <w:tl2br w:val="nil"/>
              <w:tr2bl w:val="nil"/>
            </w:tcBorders>
            <w:shd w:val="clear" w:color="auto" w:fill="002060"/>
          </w:tcPr>
          <w:p w14:paraId="56B1E3C0"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Vacancies</w:t>
            </w:r>
          </w:p>
        </w:tc>
      </w:tr>
      <w:tr w:rsidR="005A6DBB" w14:paraId="6858BADD" w14:textId="77777777" w:rsidTr="005A6DBB">
        <w:tc>
          <w:tcPr>
            <w:tcW w:w="4600" w:type="dxa"/>
            <w:vMerge/>
            <w:tcBorders>
              <w:top w:val="nil"/>
              <w:left w:val="nil"/>
              <w:bottom w:val="nil"/>
              <w:right w:val="single" w:sz="2" w:space="0" w:color="FFFFFF"/>
              <w:tl2br w:val="nil"/>
              <w:tr2bl w:val="nil"/>
            </w:tcBorders>
            <w:shd w:val="clear" w:color="auto" w:fill="002060"/>
          </w:tcPr>
          <w:p w14:paraId="6A0491B0" w14:textId="77777777" w:rsidR="005A6DBB" w:rsidRDefault="005A6DBB">
            <w:pPr>
              <w:spacing w:before="120" w:after="120"/>
              <w:rPr>
                <w:rFonts w:asciiTheme="minorHAnsi" w:hAnsiTheme="minorHAnsi" w:cstheme="minorHAnsi"/>
                <w:sz w:val="18"/>
                <w:szCs w:val="18"/>
                <w:lang w:val="en-US" w:eastAsia="en-ZA"/>
              </w:rPr>
            </w:pPr>
          </w:p>
        </w:tc>
        <w:tc>
          <w:tcPr>
            <w:tcW w:w="2301" w:type="dxa"/>
            <w:tcBorders>
              <w:top w:val="nil"/>
              <w:bottom w:val="nil"/>
              <w:right w:val="single" w:sz="2" w:space="0" w:color="FFFFFF"/>
              <w:tl2br w:val="nil"/>
              <w:tr2bl w:val="nil"/>
            </w:tcBorders>
            <w:shd w:val="clear" w:color="auto" w:fill="002060"/>
          </w:tcPr>
          <w:p w14:paraId="4C560B6B"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No.</w:t>
            </w:r>
          </w:p>
        </w:tc>
        <w:tc>
          <w:tcPr>
            <w:tcW w:w="2301" w:type="dxa"/>
            <w:tcBorders>
              <w:top w:val="nil"/>
              <w:bottom w:val="nil"/>
              <w:right w:val="nil"/>
              <w:tl2br w:val="nil"/>
              <w:tr2bl w:val="nil"/>
            </w:tcBorders>
            <w:shd w:val="clear" w:color="auto" w:fill="002060"/>
          </w:tcPr>
          <w:p w14:paraId="1C00DE31" w14:textId="77777777" w:rsidR="005A6DBB" w:rsidRDefault="00F93099">
            <w:pPr>
              <w:spacing w:before="120" w:after="120"/>
              <w:jc w:val="center"/>
              <w:rPr>
                <w:rFonts w:asciiTheme="minorHAnsi" w:hAnsiTheme="minorHAnsi" w:cstheme="minorHAnsi"/>
                <w:sz w:val="18"/>
                <w:szCs w:val="18"/>
                <w:lang w:val="en-US" w:eastAsia="en-ZA"/>
              </w:rPr>
            </w:pPr>
            <w:r>
              <w:rPr>
                <w:rFonts w:asciiTheme="minorHAnsi" w:hAnsiTheme="minorHAnsi" w:cstheme="minorHAnsi"/>
                <w:sz w:val="18"/>
                <w:szCs w:val="18"/>
                <w:lang w:val="en-US" w:eastAsia="en-ZA"/>
              </w:rPr>
              <w:t>No.</w:t>
            </w:r>
          </w:p>
        </w:tc>
      </w:tr>
      <w:tr w:rsidR="005A6DBB" w14:paraId="44DC49E5" w14:textId="77777777" w:rsidTr="005A6DBB">
        <w:tc>
          <w:tcPr>
            <w:tcW w:w="4600" w:type="dxa"/>
            <w:tcBorders>
              <w:top w:val="nil"/>
              <w:left w:val="nil"/>
              <w:bottom w:val="nil"/>
              <w:right w:val="single" w:sz="2" w:space="0" w:color="FFFFFF"/>
              <w:tl2br w:val="nil"/>
              <w:tr2bl w:val="nil"/>
            </w:tcBorders>
            <w:shd w:val="clear" w:color="auto" w:fill="D4E1ED"/>
          </w:tcPr>
          <w:p w14:paraId="2F05B1EA"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eastAsia="en-ZA"/>
              </w:rPr>
              <w:t>Corporate Services</w:t>
            </w:r>
          </w:p>
        </w:tc>
        <w:tc>
          <w:tcPr>
            <w:tcW w:w="2301" w:type="dxa"/>
            <w:tcBorders>
              <w:top w:val="nil"/>
              <w:bottom w:val="nil"/>
              <w:right w:val="single" w:sz="2" w:space="0" w:color="FFFFFF"/>
              <w:tl2br w:val="nil"/>
              <w:tr2bl w:val="nil"/>
            </w:tcBorders>
            <w:shd w:val="clear" w:color="auto" w:fill="D4E1ED"/>
            <w:vAlign w:val="center"/>
          </w:tcPr>
          <w:p w14:paraId="08871AA1"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381</w:t>
            </w:r>
          </w:p>
        </w:tc>
        <w:tc>
          <w:tcPr>
            <w:tcW w:w="2301" w:type="dxa"/>
            <w:tcBorders>
              <w:top w:val="nil"/>
              <w:bottom w:val="nil"/>
              <w:right w:val="nil"/>
              <w:tl2br w:val="nil"/>
              <w:tr2bl w:val="nil"/>
            </w:tcBorders>
            <w:shd w:val="clear" w:color="auto" w:fill="D4E1ED"/>
            <w:vAlign w:val="center"/>
          </w:tcPr>
          <w:p w14:paraId="421543F1"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276</w:t>
            </w:r>
          </w:p>
        </w:tc>
      </w:tr>
      <w:tr w:rsidR="005A6DBB" w14:paraId="4C881033" w14:textId="77777777" w:rsidTr="005A6DBB">
        <w:tc>
          <w:tcPr>
            <w:tcW w:w="4600" w:type="dxa"/>
            <w:tcBorders>
              <w:top w:val="nil"/>
              <w:left w:val="nil"/>
              <w:bottom w:val="nil"/>
              <w:right w:val="single" w:sz="2" w:space="0" w:color="FFFFFF"/>
              <w:tl2br w:val="nil"/>
              <w:tr2bl w:val="nil"/>
            </w:tcBorders>
            <w:shd w:val="clear" w:color="auto" w:fill="BED3E4"/>
          </w:tcPr>
          <w:p w14:paraId="520BABC2"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eastAsia="en-ZA"/>
              </w:rPr>
              <w:t>Economic and Rural Development</w:t>
            </w:r>
          </w:p>
        </w:tc>
        <w:tc>
          <w:tcPr>
            <w:tcW w:w="2301" w:type="dxa"/>
            <w:tcBorders>
              <w:top w:val="nil"/>
              <w:bottom w:val="nil"/>
              <w:right w:val="single" w:sz="2" w:space="0" w:color="FFFFFF"/>
              <w:tl2br w:val="nil"/>
              <w:tr2bl w:val="nil"/>
            </w:tcBorders>
            <w:shd w:val="clear" w:color="auto" w:fill="BED3E4"/>
            <w:vAlign w:val="center"/>
          </w:tcPr>
          <w:p w14:paraId="24C91BF4"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22</w:t>
            </w:r>
          </w:p>
        </w:tc>
        <w:tc>
          <w:tcPr>
            <w:tcW w:w="2301" w:type="dxa"/>
            <w:tcBorders>
              <w:top w:val="nil"/>
              <w:bottom w:val="nil"/>
              <w:right w:val="nil"/>
              <w:tl2br w:val="nil"/>
              <w:tr2bl w:val="nil"/>
            </w:tcBorders>
            <w:shd w:val="clear" w:color="auto" w:fill="BED3E4"/>
            <w:vAlign w:val="center"/>
          </w:tcPr>
          <w:p w14:paraId="52421763"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val="en-US" w:eastAsia="en-ZA"/>
              </w:rPr>
              <w:t>42</w:t>
            </w:r>
          </w:p>
        </w:tc>
      </w:tr>
      <w:tr w:rsidR="005A6DBB" w14:paraId="45BA9572" w14:textId="77777777" w:rsidTr="005A6DBB">
        <w:tc>
          <w:tcPr>
            <w:tcW w:w="4600" w:type="dxa"/>
            <w:tcBorders>
              <w:top w:val="nil"/>
              <w:left w:val="nil"/>
              <w:bottom w:val="nil"/>
              <w:right w:val="single" w:sz="2" w:space="0" w:color="FFFFFF"/>
              <w:tl2br w:val="nil"/>
              <w:tr2bl w:val="nil"/>
            </w:tcBorders>
            <w:shd w:val="clear" w:color="auto" w:fill="D4E1ED"/>
          </w:tcPr>
          <w:p w14:paraId="1AE24933"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eastAsia="en-ZA"/>
              </w:rPr>
              <w:t>Engineering Services</w:t>
            </w:r>
          </w:p>
        </w:tc>
        <w:tc>
          <w:tcPr>
            <w:tcW w:w="2301" w:type="dxa"/>
            <w:tcBorders>
              <w:top w:val="nil"/>
              <w:bottom w:val="nil"/>
              <w:right w:val="single" w:sz="2" w:space="0" w:color="FFFFFF"/>
              <w:tl2br w:val="nil"/>
              <w:tr2bl w:val="nil"/>
            </w:tcBorders>
            <w:shd w:val="clear" w:color="auto" w:fill="D4E1ED"/>
            <w:vAlign w:val="center"/>
          </w:tcPr>
          <w:p w14:paraId="761EE6BE"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739</w:t>
            </w:r>
          </w:p>
        </w:tc>
        <w:tc>
          <w:tcPr>
            <w:tcW w:w="2301" w:type="dxa"/>
            <w:tcBorders>
              <w:top w:val="nil"/>
              <w:bottom w:val="nil"/>
              <w:right w:val="nil"/>
              <w:tl2br w:val="nil"/>
              <w:tr2bl w:val="nil"/>
            </w:tcBorders>
            <w:shd w:val="clear" w:color="auto" w:fill="D4E1ED"/>
            <w:vAlign w:val="center"/>
          </w:tcPr>
          <w:p w14:paraId="1A86F03A"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1224</w:t>
            </w:r>
          </w:p>
        </w:tc>
      </w:tr>
      <w:tr w:rsidR="005A6DBB" w14:paraId="6676016C" w14:textId="77777777" w:rsidTr="005A6DBB">
        <w:tc>
          <w:tcPr>
            <w:tcW w:w="4600" w:type="dxa"/>
            <w:tcBorders>
              <w:top w:val="nil"/>
              <w:left w:val="nil"/>
              <w:bottom w:val="nil"/>
              <w:right w:val="single" w:sz="2" w:space="0" w:color="FFFFFF"/>
              <w:tl2br w:val="nil"/>
              <w:tr2bl w:val="nil"/>
            </w:tcBorders>
            <w:shd w:val="clear" w:color="auto" w:fill="BED3E4"/>
          </w:tcPr>
          <w:p w14:paraId="22040EFB"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eastAsia="en-ZA"/>
              </w:rPr>
              <w:t>Finance</w:t>
            </w:r>
          </w:p>
        </w:tc>
        <w:tc>
          <w:tcPr>
            <w:tcW w:w="2301" w:type="dxa"/>
            <w:tcBorders>
              <w:top w:val="nil"/>
              <w:bottom w:val="nil"/>
              <w:right w:val="single" w:sz="2" w:space="0" w:color="FFFFFF"/>
              <w:tl2br w:val="nil"/>
              <w:tr2bl w:val="nil"/>
            </w:tcBorders>
            <w:shd w:val="clear" w:color="auto" w:fill="BED3E4"/>
            <w:vAlign w:val="center"/>
          </w:tcPr>
          <w:p w14:paraId="10BF817D"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248</w:t>
            </w:r>
          </w:p>
        </w:tc>
        <w:tc>
          <w:tcPr>
            <w:tcW w:w="2301" w:type="dxa"/>
            <w:tcBorders>
              <w:top w:val="nil"/>
              <w:bottom w:val="nil"/>
              <w:right w:val="nil"/>
              <w:tl2br w:val="nil"/>
              <w:tr2bl w:val="nil"/>
            </w:tcBorders>
            <w:shd w:val="clear" w:color="auto" w:fill="BED3E4"/>
            <w:vAlign w:val="center"/>
          </w:tcPr>
          <w:p w14:paraId="1DD744C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233</w:t>
            </w:r>
          </w:p>
        </w:tc>
      </w:tr>
      <w:tr w:rsidR="005A6DBB" w14:paraId="72BF160B" w14:textId="77777777" w:rsidTr="005A6DBB">
        <w:tc>
          <w:tcPr>
            <w:tcW w:w="4600" w:type="dxa"/>
            <w:tcBorders>
              <w:top w:val="nil"/>
              <w:left w:val="nil"/>
              <w:bottom w:val="nil"/>
              <w:right w:val="single" w:sz="2" w:space="0" w:color="FFFFFF"/>
              <w:tl2br w:val="nil"/>
              <w:tr2bl w:val="nil"/>
            </w:tcBorders>
            <w:shd w:val="clear" w:color="auto" w:fill="D4E1ED"/>
          </w:tcPr>
          <w:p w14:paraId="58216D7D" w14:textId="77777777" w:rsidR="005A6DBB" w:rsidRDefault="00F93099">
            <w:pPr>
              <w:spacing w:before="120" w:after="120"/>
              <w:rPr>
                <w:rFonts w:asciiTheme="minorHAnsi" w:hAnsiTheme="minorHAnsi" w:cstheme="minorHAnsi"/>
                <w:sz w:val="18"/>
                <w:szCs w:val="18"/>
                <w:lang w:val="en-US" w:eastAsia="en-ZA"/>
              </w:rPr>
            </w:pPr>
            <w:r>
              <w:rPr>
                <w:rFonts w:asciiTheme="minorHAnsi" w:hAnsiTheme="minorHAnsi" w:cstheme="minorHAnsi"/>
                <w:sz w:val="18"/>
                <w:szCs w:val="18"/>
                <w:lang w:eastAsia="en-ZA"/>
              </w:rPr>
              <w:t>Human Settlements and Housing</w:t>
            </w:r>
          </w:p>
        </w:tc>
        <w:tc>
          <w:tcPr>
            <w:tcW w:w="2301" w:type="dxa"/>
            <w:tcBorders>
              <w:top w:val="nil"/>
              <w:bottom w:val="nil"/>
              <w:right w:val="single" w:sz="2" w:space="0" w:color="FFFFFF"/>
              <w:tl2br w:val="nil"/>
              <w:tr2bl w:val="nil"/>
            </w:tcBorders>
            <w:shd w:val="clear" w:color="auto" w:fill="D4E1ED"/>
            <w:vAlign w:val="center"/>
          </w:tcPr>
          <w:p w14:paraId="15724BC6"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113</w:t>
            </w:r>
          </w:p>
        </w:tc>
        <w:tc>
          <w:tcPr>
            <w:tcW w:w="2301" w:type="dxa"/>
            <w:tcBorders>
              <w:top w:val="nil"/>
              <w:bottom w:val="nil"/>
              <w:right w:val="nil"/>
              <w:tl2br w:val="nil"/>
              <w:tr2bl w:val="nil"/>
            </w:tcBorders>
            <w:shd w:val="clear" w:color="auto" w:fill="D4E1ED"/>
            <w:vAlign w:val="center"/>
          </w:tcPr>
          <w:p w14:paraId="5CD1ABF7"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150</w:t>
            </w:r>
          </w:p>
        </w:tc>
      </w:tr>
      <w:tr w:rsidR="005A6DBB" w14:paraId="5B4A1D22" w14:textId="77777777" w:rsidTr="005A6DBB">
        <w:tc>
          <w:tcPr>
            <w:tcW w:w="4600" w:type="dxa"/>
            <w:tcBorders>
              <w:top w:val="nil"/>
              <w:left w:val="nil"/>
              <w:bottom w:val="nil"/>
              <w:right w:val="single" w:sz="2" w:space="0" w:color="FFFFFF"/>
              <w:tl2br w:val="nil"/>
              <w:tr2bl w:val="nil"/>
            </w:tcBorders>
            <w:shd w:val="clear" w:color="auto" w:fill="BED3E4"/>
          </w:tcPr>
          <w:p w14:paraId="27BD92BE"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Office of the City Manager</w:t>
            </w:r>
          </w:p>
        </w:tc>
        <w:tc>
          <w:tcPr>
            <w:tcW w:w="2301" w:type="dxa"/>
            <w:tcBorders>
              <w:top w:val="nil"/>
              <w:bottom w:val="nil"/>
              <w:right w:val="single" w:sz="2" w:space="0" w:color="FFFFFF"/>
              <w:tl2br w:val="nil"/>
              <w:tr2bl w:val="nil"/>
            </w:tcBorders>
            <w:shd w:val="clear" w:color="auto" w:fill="BED3E4"/>
            <w:vAlign w:val="center"/>
          </w:tcPr>
          <w:p w14:paraId="2EB3487C"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355</w:t>
            </w:r>
          </w:p>
        </w:tc>
        <w:tc>
          <w:tcPr>
            <w:tcW w:w="2301" w:type="dxa"/>
            <w:tcBorders>
              <w:top w:val="nil"/>
              <w:bottom w:val="nil"/>
              <w:right w:val="nil"/>
              <w:tl2br w:val="nil"/>
              <w:tr2bl w:val="nil"/>
            </w:tcBorders>
            <w:shd w:val="clear" w:color="auto" w:fill="BED3E4"/>
            <w:vAlign w:val="center"/>
          </w:tcPr>
          <w:p w14:paraId="2EF07F23"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102</w:t>
            </w:r>
          </w:p>
        </w:tc>
      </w:tr>
      <w:tr w:rsidR="005A6DBB" w14:paraId="0B8F7FD2" w14:textId="77777777" w:rsidTr="005A6DBB">
        <w:tc>
          <w:tcPr>
            <w:tcW w:w="4600" w:type="dxa"/>
            <w:tcBorders>
              <w:top w:val="nil"/>
              <w:left w:val="nil"/>
              <w:bottom w:val="nil"/>
              <w:right w:val="single" w:sz="2" w:space="0" w:color="FFFFFF"/>
              <w:tl2br w:val="nil"/>
              <w:tr2bl w:val="nil"/>
            </w:tcBorders>
            <w:shd w:val="clear" w:color="auto" w:fill="D4E1ED"/>
          </w:tcPr>
          <w:p w14:paraId="454C7CC4"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Planning</w:t>
            </w:r>
          </w:p>
        </w:tc>
        <w:tc>
          <w:tcPr>
            <w:tcW w:w="2301" w:type="dxa"/>
            <w:tcBorders>
              <w:top w:val="nil"/>
              <w:bottom w:val="nil"/>
              <w:right w:val="single" w:sz="2" w:space="0" w:color="FFFFFF"/>
              <w:tl2br w:val="nil"/>
              <w:tr2bl w:val="nil"/>
            </w:tcBorders>
            <w:shd w:val="clear" w:color="auto" w:fill="D4E1ED"/>
            <w:vAlign w:val="center"/>
          </w:tcPr>
          <w:p w14:paraId="225B35C2"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84</w:t>
            </w:r>
          </w:p>
        </w:tc>
        <w:tc>
          <w:tcPr>
            <w:tcW w:w="2301" w:type="dxa"/>
            <w:tcBorders>
              <w:top w:val="nil"/>
              <w:bottom w:val="nil"/>
              <w:right w:val="nil"/>
              <w:tl2br w:val="nil"/>
              <w:tr2bl w:val="nil"/>
            </w:tcBorders>
            <w:shd w:val="clear" w:color="auto" w:fill="D4E1ED"/>
            <w:vAlign w:val="center"/>
          </w:tcPr>
          <w:p w14:paraId="202A230D"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176</w:t>
            </w:r>
          </w:p>
        </w:tc>
      </w:tr>
      <w:tr w:rsidR="005A6DBB" w14:paraId="3D0396D0" w14:textId="77777777" w:rsidTr="005A6DBB">
        <w:tc>
          <w:tcPr>
            <w:tcW w:w="4600" w:type="dxa"/>
            <w:tcBorders>
              <w:top w:val="nil"/>
              <w:left w:val="nil"/>
              <w:bottom w:val="nil"/>
              <w:right w:val="single" w:sz="2" w:space="0" w:color="FFFFFF"/>
              <w:tl2br w:val="nil"/>
              <w:tr2bl w:val="nil"/>
            </w:tcBorders>
            <w:shd w:val="clear" w:color="auto" w:fill="BED3E4"/>
          </w:tcPr>
          <w:p w14:paraId="1B274374"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Social Services</w:t>
            </w:r>
          </w:p>
        </w:tc>
        <w:tc>
          <w:tcPr>
            <w:tcW w:w="2301" w:type="dxa"/>
            <w:tcBorders>
              <w:top w:val="nil"/>
              <w:bottom w:val="nil"/>
              <w:right w:val="single" w:sz="2" w:space="0" w:color="FFFFFF"/>
              <w:tl2br w:val="nil"/>
              <w:tr2bl w:val="nil"/>
            </w:tcBorders>
            <w:shd w:val="clear" w:color="auto" w:fill="BED3E4"/>
            <w:vAlign w:val="center"/>
          </w:tcPr>
          <w:p w14:paraId="4C537A67"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466</w:t>
            </w:r>
          </w:p>
        </w:tc>
        <w:tc>
          <w:tcPr>
            <w:tcW w:w="2301" w:type="dxa"/>
            <w:tcBorders>
              <w:top w:val="nil"/>
              <w:bottom w:val="nil"/>
              <w:right w:val="nil"/>
              <w:tl2br w:val="nil"/>
              <w:tr2bl w:val="nil"/>
            </w:tcBorders>
            <w:shd w:val="clear" w:color="auto" w:fill="BED3E4"/>
            <w:vAlign w:val="center"/>
          </w:tcPr>
          <w:p w14:paraId="398BA346"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561</w:t>
            </w:r>
          </w:p>
        </w:tc>
      </w:tr>
      <w:tr w:rsidR="005A6DBB" w14:paraId="3539203F" w14:textId="77777777" w:rsidTr="005A6DBB">
        <w:tc>
          <w:tcPr>
            <w:tcW w:w="4600" w:type="dxa"/>
            <w:tcBorders>
              <w:top w:val="nil"/>
              <w:left w:val="nil"/>
              <w:bottom w:val="nil"/>
              <w:right w:val="single" w:sz="2" w:space="0" w:color="FFFFFF"/>
              <w:tl2br w:val="nil"/>
              <w:tr2bl w:val="nil"/>
            </w:tcBorders>
            <w:shd w:val="clear" w:color="auto" w:fill="D4E1ED"/>
          </w:tcPr>
          <w:p w14:paraId="4DBD6FFF"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Strategic Programmes and Service Delivery Monitoring</w:t>
            </w:r>
          </w:p>
        </w:tc>
        <w:tc>
          <w:tcPr>
            <w:tcW w:w="2301" w:type="dxa"/>
            <w:tcBorders>
              <w:top w:val="nil"/>
              <w:bottom w:val="nil"/>
              <w:right w:val="single" w:sz="2" w:space="0" w:color="FFFFFF"/>
              <w:tl2br w:val="nil"/>
              <w:tr2bl w:val="nil"/>
            </w:tcBorders>
            <w:shd w:val="clear" w:color="auto" w:fill="D4E1ED"/>
            <w:vAlign w:val="center"/>
          </w:tcPr>
          <w:p w14:paraId="777E599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62</w:t>
            </w:r>
          </w:p>
        </w:tc>
        <w:tc>
          <w:tcPr>
            <w:tcW w:w="2301" w:type="dxa"/>
            <w:tcBorders>
              <w:top w:val="nil"/>
              <w:bottom w:val="nil"/>
              <w:right w:val="nil"/>
              <w:tl2br w:val="nil"/>
              <w:tr2bl w:val="nil"/>
            </w:tcBorders>
            <w:shd w:val="clear" w:color="auto" w:fill="D4E1ED"/>
            <w:vAlign w:val="center"/>
          </w:tcPr>
          <w:p w14:paraId="453FA210"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78</w:t>
            </w:r>
          </w:p>
        </w:tc>
      </w:tr>
      <w:tr w:rsidR="005A6DBB" w14:paraId="04F15962" w14:textId="77777777" w:rsidTr="005A6DBB">
        <w:tc>
          <w:tcPr>
            <w:tcW w:w="4600" w:type="dxa"/>
            <w:tcBorders>
              <w:top w:val="nil"/>
              <w:left w:val="nil"/>
              <w:bottom w:val="nil"/>
              <w:right w:val="single" w:sz="2" w:space="0" w:color="FFFFFF"/>
              <w:tl2br w:val="nil"/>
              <w:tr2bl w:val="nil"/>
            </w:tcBorders>
            <w:shd w:val="clear" w:color="auto" w:fill="BED3E4"/>
          </w:tcPr>
          <w:p w14:paraId="6B96E1F5"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Waste and Fleet Management</w:t>
            </w:r>
          </w:p>
        </w:tc>
        <w:tc>
          <w:tcPr>
            <w:tcW w:w="2301" w:type="dxa"/>
            <w:tcBorders>
              <w:top w:val="nil"/>
              <w:bottom w:val="nil"/>
              <w:right w:val="single" w:sz="2" w:space="0" w:color="FFFFFF"/>
              <w:tl2br w:val="nil"/>
              <w:tr2bl w:val="nil"/>
            </w:tcBorders>
            <w:shd w:val="clear" w:color="auto" w:fill="BED3E4"/>
            <w:vAlign w:val="center"/>
          </w:tcPr>
          <w:p w14:paraId="16676260"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591</w:t>
            </w:r>
          </w:p>
        </w:tc>
        <w:tc>
          <w:tcPr>
            <w:tcW w:w="2301" w:type="dxa"/>
            <w:tcBorders>
              <w:top w:val="nil"/>
              <w:bottom w:val="nil"/>
              <w:right w:val="nil"/>
              <w:tl2br w:val="nil"/>
              <w:tr2bl w:val="nil"/>
            </w:tcBorders>
            <w:shd w:val="clear" w:color="auto" w:fill="BED3E4"/>
            <w:vAlign w:val="center"/>
          </w:tcPr>
          <w:p w14:paraId="1735C5C8"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491</w:t>
            </w:r>
          </w:p>
        </w:tc>
      </w:tr>
      <w:tr w:rsidR="005A6DBB" w14:paraId="60FD0FA4" w14:textId="77777777" w:rsidTr="005A6DBB">
        <w:tc>
          <w:tcPr>
            <w:tcW w:w="4600" w:type="dxa"/>
            <w:tcBorders>
              <w:top w:val="nil"/>
              <w:left w:val="nil"/>
              <w:bottom w:val="nil"/>
              <w:right w:val="single" w:sz="2" w:space="0" w:color="FFFFFF"/>
              <w:tl2br w:val="nil"/>
              <w:tr2bl w:val="nil"/>
            </w:tcBorders>
            <w:shd w:val="clear" w:color="auto" w:fill="D4E1ED"/>
          </w:tcPr>
          <w:p w14:paraId="39FEC245" w14:textId="77777777" w:rsidR="005A6DBB" w:rsidRDefault="00F93099">
            <w:pPr>
              <w:spacing w:before="120" w:after="120"/>
              <w:rPr>
                <w:rFonts w:asciiTheme="minorHAnsi" w:hAnsiTheme="minorHAnsi" w:cstheme="minorHAnsi"/>
                <w:sz w:val="18"/>
                <w:szCs w:val="18"/>
                <w:lang w:eastAsia="en-ZA"/>
              </w:rPr>
            </w:pPr>
            <w:r>
              <w:rPr>
                <w:rFonts w:asciiTheme="minorHAnsi" w:hAnsiTheme="minorHAnsi" w:cstheme="minorHAnsi"/>
                <w:sz w:val="18"/>
                <w:szCs w:val="18"/>
                <w:lang w:eastAsia="en-ZA"/>
              </w:rPr>
              <w:t>Municipal Police Services</w:t>
            </w:r>
          </w:p>
        </w:tc>
        <w:tc>
          <w:tcPr>
            <w:tcW w:w="2301" w:type="dxa"/>
            <w:tcBorders>
              <w:top w:val="nil"/>
              <w:bottom w:val="nil"/>
              <w:right w:val="single" w:sz="2" w:space="0" w:color="FFFFFF"/>
              <w:tl2br w:val="nil"/>
              <w:tr2bl w:val="nil"/>
            </w:tcBorders>
            <w:shd w:val="clear" w:color="auto" w:fill="D4E1ED"/>
            <w:vAlign w:val="center"/>
          </w:tcPr>
          <w:p w14:paraId="7D6F9759"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277</w:t>
            </w:r>
          </w:p>
        </w:tc>
        <w:tc>
          <w:tcPr>
            <w:tcW w:w="2301" w:type="dxa"/>
            <w:tcBorders>
              <w:top w:val="nil"/>
              <w:bottom w:val="nil"/>
              <w:right w:val="nil"/>
              <w:tl2br w:val="nil"/>
              <w:tr2bl w:val="nil"/>
            </w:tcBorders>
            <w:shd w:val="clear" w:color="auto" w:fill="D4E1ED"/>
            <w:vAlign w:val="center"/>
          </w:tcPr>
          <w:p w14:paraId="3D0E19B5" w14:textId="77777777" w:rsidR="005A6DBB" w:rsidRDefault="00F93099">
            <w:pPr>
              <w:spacing w:before="120" w:after="120"/>
              <w:jc w:val="right"/>
              <w:rPr>
                <w:rFonts w:asciiTheme="minorHAnsi" w:hAnsiTheme="minorHAnsi" w:cstheme="minorHAnsi"/>
                <w:sz w:val="18"/>
                <w:szCs w:val="18"/>
                <w:lang w:val="en-US" w:eastAsia="en-ZA"/>
              </w:rPr>
            </w:pPr>
            <w:r>
              <w:rPr>
                <w:rFonts w:asciiTheme="minorHAnsi" w:hAnsiTheme="minorHAnsi" w:cstheme="minorHAnsi"/>
                <w:sz w:val="18"/>
                <w:szCs w:val="18"/>
                <w:lang w:eastAsia="en-ZA"/>
              </w:rPr>
              <w:t>1 388</w:t>
            </w:r>
          </w:p>
        </w:tc>
      </w:tr>
      <w:tr w:rsidR="005A6DBB" w14:paraId="5B9827F5" w14:textId="77777777" w:rsidTr="005A6DBB">
        <w:tc>
          <w:tcPr>
            <w:tcW w:w="4600" w:type="dxa"/>
            <w:tcBorders>
              <w:top w:val="nil"/>
              <w:left w:val="nil"/>
              <w:bottom w:val="nil"/>
              <w:right w:val="single" w:sz="2" w:space="0" w:color="FFFFFF"/>
              <w:tl2br w:val="nil"/>
              <w:tr2bl w:val="nil"/>
            </w:tcBorders>
            <w:shd w:val="clear" w:color="auto" w:fill="BED3E4"/>
          </w:tcPr>
          <w:p w14:paraId="674DED14" w14:textId="77777777" w:rsidR="005A6DBB" w:rsidRDefault="00F93099">
            <w:pPr>
              <w:spacing w:before="120" w:after="120"/>
              <w:rPr>
                <w:rFonts w:asciiTheme="minorHAnsi" w:hAnsiTheme="minorHAnsi" w:cstheme="minorHAnsi"/>
                <w:b/>
                <w:bCs/>
                <w:sz w:val="18"/>
                <w:szCs w:val="18"/>
                <w:lang w:eastAsia="en-ZA"/>
              </w:rPr>
            </w:pPr>
            <w:r>
              <w:rPr>
                <w:rFonts w:asciiTheme="minorHAnsi" w:hAnsiTheme="minorHAnsi" w:cstheme="minorHAnsi"/>
                <w:b/>
                <w:bCs/>
                <w:sz w:val="18"/>
                <w:szCs w:val="18"/>
                <w:lang w:eastAsia="en-ZA"/>
              </w:rPr>
              <w:t>Totals</w:t>
            </w:r>
          </w:p>
        </w:tc>
        <w:tc>
          <w:tcPr>
            <w:tcW w:w="2301" w:type="dxa"/>
            <w:tcBorders>
              <w:top w:val="nil"/>
              <w:bottom w:val="nil"/>
              <w:right w:val="single" w:sz="2" w:space="0" w:color="FFFFFF"/>
              <w:tl2br w:val="nil"/>
              <w:tr2bl w:val="nil"/>
            </w:tcBorders>
            <w:shd w:val="clear" w:color="auto" w:fill="BED3E4"/>
            <w:vAlign w:val="center"/>
          </w:tcPr>
          <w:p w14:paraId="338D04B0" w14:textId="77777777" w:rsidR="005A6DBB" w:rsidRDefault="00F93099">
            <w:pPr>
              <w:spacing w:before="120" w:after="120"/>
              <w:jc w:val="right"/>
              <w:rPr>
                <w:rFonts w:asciiTheme="minorHAnsi" w:hAnsiTheme="minorHAnsi" w:cstheme="minorHAnsi"/>
                <w:b/>
                <w:bCs/>
                <w:sz w:val="18"/>
                <w:szCs w:val="18"/>
                <w:lang w:val="en-US" w:eastAsia="en-ZA"/>
              </w:rPr>
            </w:pPr>
            <w:r>
              <w:rPr>
                <w:rFonts w:asciiTheme="minorHAnsi" w:hAnsiTheme="minorHAnsi" w:cstheme="minorHAnsi"/>
                <w:b/>
                <w:bCs/>
                <w:sz w:val="18"/>
                <w:szCs w:val="18"/>
                <w:lang w:eastAsia="en-ZA"/>
              </w:rPr>
              <w:t>3 338</w:t>
            </w:r>
          </w:p>
        </w:tc>
        <w:tc>
          <w:tcPr>
            <w:tcW w:w="2301" w:type="dxa"/>
            <w:tcBorders>
              <w:top w:val="nil"/>
              <w:bottom w:val="nil"/>
              <w:right w:val="nil"/>
              <w:tl2br w:val="nil"/>
              <w:tr2bl w:val="nil"/>
            </w:tcBorders>
            <w:shd w:val="clear" w:color="auto" w:fill="BED3E4"/>
            <w:vAlign w:val="center"/>
          </w:tcPr>
          <w:p w14:paraId="43F9A768" w14:textId="77777777" w:rsidR="005A6DBB" w:rsidRDefault="00F93099">
            <w:pPr>
              <w:keepNext/>
              <w:spacing w:before="120" w:after="120"/>
              <w:jc w:val="right"/>
              <w:rPr>
                <w:rFonts w:asciiTheme="minorHAnsi" w:hAnsiTheme="minorHAnsi" w:cstheme="minorHAnsi"/>
                <w:b/>
                <w:bCs/>
                <w:sz w:val="18"/>
                <w:szCs w:val="18"/>
                <w:lang w:val="en-US" w:eastAsia="en-ZA"/>
              </w:rPr>
            </w:pPr>
            <w:r>
              <w:rPr>
                <w:rFonts w:asciiTheme="minorHAnsi" w:hAnsiTheme="minorHAnsi" w:cstheme="minorHAnsi"/>
                <w:b/>
                <w:bCs/>
                <w:sz w:val="18"/>
                <w:szCs w:val="18"/>
                <w:lang w:eastAsia="en-ZA"/>
              </w:rPr>
              <w:t>4 721</w:t>
            </w:r>
          </w:p>
        </w:tc>
      </w:tr>
    </w:tbl>
    <w:p w14:paraId="7741C069" w14:textId="58649E0F"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3</w:t>
      </w:r>
      <w:r>
        <w:fldChar w:fldCharType="end"/>
      </w:r>
      <w:r>
        <w:t xml:space="preserve"> – Current Employees and Vacancies per Department</w:t>
      </w:r>
    </w:p>
    <w:p w14:paraId="307F7741" w14:textId="77777777" w:rsidR="005A6DBB" w:rsidRDefault="00F93099">
      <w:pPr>
        <w:spacing w:before="120" w:after="120"/>
        <w:rPr>
          <w:lang w:val="en-US"/>
        </w:rPr>
      </w:pPr>
      <w:r>
        <w:rPr>
          <w:lang w:val="en-US"/>
        </w:rPr>
        <w:t xml:space="preserve">Further, analysis of the filling of key positions is paramount to effective service delivery and the Metro’s capacity and capability to fulfil its key functions.  </w:t>
      </w:r>
    </w:p>
    <w:p w14:paraId="250EBCE0"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26" w:name="_Toc137732209"/>
      <w:r>
        <w:rPr>
          <w:rFonts w:cs="Arial"/>
          <w:b/>
          <w:szCs w:val="26"/>
        </w:rPr>
        <w:t>ADOPTION AND IMPLEMENTATION OF A DELEGATION SYSTEM</w:t>
      </w:r>
      <w:bookmarkEnd w:id="26"/>
    </w:p>
    <w:p w14:paraId="4170A30F" w14:textId="77777777" w:rsidR="005A6DBB" w:rsidRDefault="00F93099">
      <w:pPr>
        <w:spacing w:before="120" w:after="120"/>
        <w:rPr>
          <w:lang w:val="en-US"/>
        </w:rPr>
      </w:pPr>
      <w:r>
        <w:rPr>
          <w:lang w:val="en-US"/>
        </w:rPr>
        <w:t xml:space="preserve">Section 59 of the Local Government: Municipal Systems Act, 2000 provides for the development and adoption of a corporate system of delegations by Council.  A Municipal Council must develop a system of delegation that will </w:t>
      </w:r>
      <w:proofErr w:type="spellStart"/>
      <w:r>
        <w:rPr>
          <w:lang w:val="en-US"/>
        </w:rPr>
        <w:t>maximise</w:t>
      </w:r>
      <w:proofErr w:type="spellEnd"/>
      <w:r>
        <w:rPr>
          <w:lang w:val="en-US"/>
        </w:rPr>
        <w:t xml:space="preserve"> administrative and operational efficiency and provide for adequate checks and balances/ segregation of duties and enforce accountability. </w:t>
      </w:r>
    </w:p>
    <w:p w14:paraId="192C4D72"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27" w:name="_Toc132880220"/>
      <w:bookmarkStart w:id="28" w:name="_Toc132725125"/>
      <w:bookmarkStart w:id="29" w:name="_Toc132788201"/>
      <w:bookmarkStart w:id="30" w:name="_Toc137732210"/>
      <w:bookmarkEnd w:id="27"/>
      <w:bookmarkEnd w:id="28"/>
      <w:bookmarkEnd w:id="29"/>
      <w:r>
        <w:rPr>
          <w:rFonts w:cs="Arial"/>
          <w:b/>
          <w:szCs w:val="26"/>
        </w:rPr>
        <w:t>PERFORMANCE MANAGEMENT</w:t>
      </w:r>
      <w:bookmarkEnd w:id="30"/>
    </w:p>
    <w:p w14:paraId="53A3BD78" w14:textId="77777777" w:rsidR="005A6DBB" w:rsidRDefault="00F93099">
      <w:pPr>
        <w:spacing w:before="120" w:after="120"/>
        <w:rPr>
          <w:lang w:val="en-US"/>
        </w:rPr>
      </w:pPr>
      <w:r>
        <w:rPr>
          <w:lang w:val="en-US"/>
        </w:rPr>
        <w:t>The 2022 AG’s report indicates that ‘’The performance management system and related controls were inadequate due to the significant internal control deficiencies identified resulting in usefulness and reliability findings on indicators and targets, as required by Municipal planning and performance management regulation 7(1)”.</w:t>
      </w:r>
    </w:p>
    <w:p w14:paraId="4BA88121" w14:textId="77777777" w:rsidR="005A6DBB" w:rsidRDefault="00F93099">
      <w:pPr>
        <w:spacing w:before="120" w:after="120"/>
        <w:rPr>
          <w:lang w:val="en-US"/>
        </w:rPr>
      </w:pPr>
      <w:r>
        <w:rPr>
          <w:lang w:val="en-US"/>
        </w:rPr>
        <w:t>Further, the 2022 status quo report indicates the following: “There is a performance management system (PMS) in place although it is at senior management level.  No cascading of PMS to lower levels as yet”.</w:t>
      </w:r>
    </w:p>
    <w:p w14:paraId="1A6EB558" w14:textId="77777777" w:rsidR="005A6DBB" w:rsidRDefault="00F93099">
      <w:pPr>
        <w:spacing w:before="120" w:after="120"/>
        <w:rPr>
          <w:lang w:val="en-US"/>
        </w:rPr>
      </w:pPr>
      <w:r>
        <w:rPr>
          <w:lang w:val="en-US"/>
        </w:rPr>
        <w:t>It further identifies the following problems:</w:t>
      </w:r>
    </w:p>
    <w:p w14:paraId="242FA91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Inconsistent sitting of the Municipal Public Accounts Committee (MPAC);</w:t>
      </w:r>
    </w:p>
    <w:p w14:paraId="5376B31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Lack of consequence management;</w:t>
      </w:r>
    </w:p>
    <w:p w14:paraId="0BC0799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 w:val="22"/>
          <w:szCs w:val="22"/>
          <w:lang w:val="en-US"/>
        </w:rPr>
      </w:pPr>
      <w:r>
        <w:rPr>
          <w:rFonts w:asciiTheme="minorHAnsi" w:hAnsiTheme="minorHAnsi" w:cstheme="minorBidi"/>
          <w:sz w:val="22"/>
          <w:szCs w:val="22"/>
          <w:lang w:val="en-US"/>
        </w:rPr>
        <w:t>No delegation register exists;</w:t>
      </w:r>
    </w:p>
    <w:p w14:paraId="7205EE6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Lack of cascading of PMS to all levels;</w:t>
      </w:r>
    </w:p>
    <w:p w14:paraId="689796A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 xml:space="preserve">No buy-in from organised </w:t>
      </w:r>
      <w:proofErr w:type="spellStart"/>
      <w:r>
        <w:rPr>
          <w:rFonts w:asciiTheme="minorHAnsi" w:hAnsiTheme="minorHAnsi" w:cstheme="minorBidi"/>
          <w:sz w:val="22"/>
          <w:szCs w:val="22"/>
          <w:lang w:val="en-US"/>
        </w:rPr>
        <w:t>labour</w:t>
      </w:r>
      <w:proofErr w:type="spellEnd"/>
      <w:r>
        <w:rPr>
          <w:rFonts w:asciiTheme="minorHAnsi" w:hAnsiTheme="minorHAnsi" w:cstheme="minorBidi"/>
          <w:sz w:val="22"/>
          <w:szCs w:val="22"/>
          <w:lang w:val="en-US"/>
        </w:rPr>
        <w:t>; and</w:t>
      </w:r>
    </w:p>
    <w:p w14:paraId="1A7B1ED2" w14:textId="77777777" w:rsidR="005A6DBB" w:rsidRDefault="00F93099">
      <w:pPr>
        <w:pStyle w:val="ListParagraph"/>
        <w:numPr>
          <w:ilvl w:val="0"/>
          <w:numId w:val="8"/>
        </w:numPr>
        <w:spacing w:before="120" w:after="120" w:line="360" w:lineRule="auto"/>
        <w:ind w:left="357" w:hanging="357"/>
        <w:jc w:val="both"/>
        <w:rPr>
          <w:rFonts w:asciiTheme="minorHAnsi" w:hAnsiTheme="minorHAnsi" w:cstheme="minorBidi"/>
          <w:sz w:val="22"/>
          <w:szCs w:val="22"/>
          <w:lang w:val="en-US"/>
        </w:rPr>
      </w:pPr>
      <w:r>
        <w:rPr>
          <w:rFonts w:asciiTheme="minorHAnsi" w:hAnsiTheme="minorHAnsi" w:cstheme="minorBidi"/>
          <w:sz w:val="22"/>
          <w:szCs w:val="22"/>
          <w:lang w:val="en-US"/>
        </w:rPr>
        <w:t xml:space="preserve">Lack of buy-in from the top. </w:t>
      </w:r>
    </w:p>
    <w:p w14:paraId="005A20D4" w14:textId="77777777" w:rsidR="005A6DBB" w:rsidRDefault="00F93099">
      <w:pPr>
        <w:spacing w:before="120" w:after="120"/>
        <w:rPr>
          <w:lang w:val="en-US"/>
        </w:rPr>
      </w:pPr>
      <w:r>
        <w:rPr>
          <w:lang w:val="en-US"/>
        </w:rPr>
        <w:t xml:space="preserve">Chapter 6 of the Systems Act advocates for the adoption of a performance management system that must be adopted, implemented across the organisation monitored and periodically reported to Council.  The performance management system must further align organisational performance with individual performance.  The AG further found the following: “Appropriate systems and procedures to monitor, measure and evaluate performance of staff were not developed and adopted, as required by section 67(1)(d) of the Municipal Systems Act 32 of 2000.”  </w:t>
      </w:r>
    </w:p>
    <w:p w14:paraId="1CAA23E2" w14:textId="77777777" w:rsidR="005A6DBB" w:rsidRDefault="00F93099">
      <w:pPr>
        <w:spacing w:before="120" w:after="120"/>
        <w:rPr>
          <w:lang w:val="en-US"/>
        </w:rPr>
      </w:pPr>
      <w:r>
        <w:rPr>
          <w:lang w:val="en-US"/>
        </w:rPr>
        <w:t>The establishment and adoption of a performance management system need to be prioritised by MMM to monitor and evaluate staff and the Municipalities performance, and to comply with legislation.</w:t>
      </w:r>
    </w:p>
    <w:p w14:paraId="462F57CA"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31" w:name="_Toc137732211"/>
      <w:r>
        <w:rPr>
          <w:rFonts w:cs="Arial"/>
          <w:b/>
          <w:szCs w:val="26"/>
        </w:rPr>
        <w:t>POLICIES AND PROCEDURES</w:t>
      </w:r>
      <w:bookmarkEnd w:id="31"/>
    </w:p>
    <w:p w14:paraId="2147BB93" w14:textId="77777777" w:rsidR="005A6DBB" w:rsidRDefault="00F93099">
      <w:pPr>
        <w:spacing w:before="120" w:after="120"/>
        <w:rPr>
          <w:lang w:val="en-US"/>
        </w:rPr>
      </w:pPr>
      <w:r>
        <w:rPr>
          <w:lang w:val="en-US"/>
        </w:rPr>
        <w:t xml:space="preserve">A whole suite of organisational policies exist and as per the 2022 status quo report but were not updated.  Whilst a suite of policies does exist, they are not periodically reviewed and updated to ensure alignment with legislation, other relevant prescripts and/or changes in the Municipal context.  The lack of updating of human resources policies also leads to </w:t>
      </w:r>
      <w:proofErr w:type="spellStart"/>
      <w:r>
        <w:rPr>
          <w:lang w:val="en-US"/>
        </w:rPr>
        <w:t>labour</w:t>
      </w:r>
      <w:proofErr w:type="spellEnd"/>
      <w:r>
        <w:rPr>
          <w:lang w:val="en-US"/>
        </w:rPr>
        <w:t xml:space="preserve"> instability and the Municipality needs to address this to ensure good governance and a healthy </w:t>
      </w:r>
      <w:proofErr w:type="spellStart"/>
      <w:r>
        <w:rPr>
          <w:lang w:val="en-US"/>
        </w:rPr>
        <w:t>labour</w:t>
      </w:r>
      <w:proofErr w:type="spellEnd"/>
      <w:r>
        <w:rPr>
          <w:lang w:val="en-US"/>
        </w:rPr>
        <w:t xml:space="preserve"> relations climate.</w:t>
      </w:r>
    </w:p>
    <w:p w14:paraId="57F3AC0D"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32" w:name="_Toc137732212"/>
      <w:r>
        <w:rPr>
          <w:rFonts w:cs="Arial"/>
          <w:b/>
          <w:szCs w:val="26"/>
        </w:rPr>
        <w:t>DISCIPLINARY BOARD</w:t>
      </w:r>
      <w:bookmarkEnd w:id="32"/>
    </w:p>
    <w:p w14:paraId="3A1C4AA9" w14:textId="77777777" w:rsidR="005A6DBB" w:rsidRDefault="00F93099">
      <w:pPr>
        <w:spacing w:before="120" w:after="120"/>
        <w:rPr>
          <w:lang w:val="en-US"/>
        </w:rPr>
      </w:pPr>
      <w:r>
        <w:rPr>
          <w:lang w:val="en-US"/>
        </w:rPr>
        <w:t>In terms of the Municipal Regulations for Financial Misconduct and Offences, the Disciplinary Board must conduct an independent preliminary or full investigation relating to allegations of financial misconduct and offences.  The functionality of this board is crucial in ensuring that the Municipality can receive reports of allegations of financial misconduct and offences in terms of section 171 and 173 of the MFMA, investigate and ensure consequence management where there has been transgression against legislation.  In addition, it will also ensure that disciplinary processes are instigated, and cases finalised within the required timeframes against all possible transgressors.</w:t>
      </w:r>
    </w:p>
    <w:p w14:paraId="6A690A5C" w14:textId="77777777" w:rsidR="005A6DBB" w:rsidRDefault="00F93099">
      <w:pPr>
        <w:spacing w:before="120" w:after="120"/>
        <w:rPr>
          <w:lang w:val="en-US"/>
        </w:rPr>
      </w:pPr>
      <w:r>
        <w:rPr>
          <w:lang w:val="en-US"/>
        </w:rPr>
        <w:t xml:space="preserve">The disciplinary board’s existence, its functionality and associated reports could not be established.  Per our consultation process, we established that no register exists of staff under suspension, under disciplinary action nor under legal prosecution.  This links to the culture of non-performance and zero accountability or consequence management.  </w:t>
      </w:r>
    </w:p>
    <w:p w14:paraId="5ABF6AE0" w14:textId="77777777" w:rsidR="005A6DBB" w:rsidRDefault="00F93099">
      <w:pPr>
        <w:spacing w:before="120" w:after="120"/>
      </w:pPr>
      <w:r>
        <w:rPr>
          <w:lang w:val="en-US"/>
        </w:rPr>
        <w:t>As a consequence of this, a consolidated list of staff investigated or disciplined is not available.  If a disciplinary board existed and performed its functions properly, it would help in preventing and deterring future misconduct.</w:t>
      </w:r>
    </w:p>
    <w:p w14:paraId="7C73EC16"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33" w:name="_Toc137732213"/>
      <w:r>
        <w:rPr>
          <w:rFonts w:cs="Arial"/>
          <w:b/>
          <w:szCs w:val="26"/>
        </w:rPr>
        <w:t>TRAINING AND DEVELOPMENT</w:t>
      </w:r>
      <w:bookmarkEnd w:id="33"/>
    </w:p>
    <w:p w14:paraId="06350A99" w14:textId="77777777" w:rsidR="005A6DBB" w:rsidRDefault="00F93099">
      <w:pPr>
        <w:spacing w:before="120" w:after="120"/>
        <w:rPr>
          <w:lang w:val="en-US"/>
        </w:rPr>
      </w:pPr>
      <w:r>
        <w:rPr>
          <w:lang w:val="en-US"/>
        </w:rPr>
        <w:t xml:space="preserve">The human resources development (HRD) strategy is in place albeit outdated.  </w:t>
      </w:r>
    </w:p>
    <w:p w14:paraId="3BE433C6" w14:textId="77777777" w:rsidR="005A6DBB" w:rsidRDefault="00F93099">
      <w:pPr>
        <w:spacing w:before="120" w:after="120"/>
        <w:rPr>
          <w:lang w:val="en-US"/>
        </w:rPr>
      </w:pPr>
      <w:r>
        <w:rPr>
          <w:lang w:val="en-US"/>
        </w:rPr>
        <w:t>A report that outlines the expenditure on training and development will help to analyse the relationship between the current investment in training and development against the strategy, which is not available.</w:t>
      </w:r>
    </w:p>
    <w:p w14:paraId="3CA30281" w14:textId="77777777" w:rsidR="005A6DBB" w:rsidRDefault="00F93099">
      <w:pPr>
        <w:spacing w:before="120" w:after="120"/>
        <w:rPr>
          <w:lang w:val="en-US"/>
        </w:rPr>
      </w:pPr>
      <w:r>
        <w:rPr>
          <w:lang w:val="en-US"/>
        </w:rPr>
        <w:t xml:space="preserve">Further, a training and development report and/or a skills development report will help assess how many employees comply with the Municipal Regulations on Minimum Competency Levels for Municipal officials as well as the relevant sections of the MFMA. </w:t>
      </w:r>
    </w:p>
    <w:p w14:paraId="54A3E4F4" w14:textId="77777777" w:rsidR="005A6DBB" w:rsidRDefault="00F93099">
      <w:pPr>
        <w:spacing w:before="120" w:after="120"/>
        <w:rPr>
          <w:lang w:val="en-US"/>
        </w:rPr>
      </w:pPr>
      <w:r>
        <w:rPr>
          <w:lang w:val="en-US"/>
        </w:rPr>
        <w:t xml:space="preserve">Per the consultation in February 2023 with the Municipality, it was noted that a skills audit and institutional assessment was not recently conducted.  Such a report will assist to determine the skills the Municipalities have and the identified gaps as a mechanism to evaluate whether expenditure in training and development is commensurate with the organisational needs for the implementation of the IDP’s strategic objectives. </w:t>
      </w:r>
    </w:p>
    <w:p w14:paraId="2E935988"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34" w:name="_Toc137732214"/>
      <w:r>
        <w:rPr>
          <w:rFonts w:cs="Arial"/>
          <w:b/>
          <w:szCs w:val="26"/>
        </w:rPr>
        <w:t>STAFF DISCIPLINE AND MORALE</w:t>
      </w:r>
      <w:bookmarkEnd w:id="34"/>
    </w:p>
    <w:p w14:paraId="65DE77AB" w14:textId="77777777" w:rsidR="005A6DBB" w:rsidRDefault="00F93099">
      <w:pPr>
        <w:spacing w:before="120" w:after="120"/>
        <w:rPr>
          <w:lang w:val="en-US"/>
        </w:rPr>
      </w:pPr>
      <w:r>
        <w:rPr>
          <w:lang w:val="en-US"/>
        </w:rPr>
        <w:t xml:space="preserve">A report on the number of completed and finalised disciplinary cases and grievances is often an indicator of a sound </w:t>
      </w:r>
      <w:proofErr w:type="spellStart"/>
      <w:r>
        <w:rPr>
          <w:lang w:val="en-US"/>
        </w:rPr>
        <w:t>labour</w:t>
      </w:r>
      <w:proofErr w:type="spellEnd"/>
      <w:r>
        <w:rPr>
          <w:lang w:val="en-US"/>
        </w:rPr>
        <w:t xml:space="preserve"> relations environment and can also be a measure for staff morale and organisational culture.  The absence of such a report hinders such an analysis and it needs to be provided to complete the findings on the 2023 state of the organisation.  </w:t>
      </w:r>
    </w:p>
    <w:p w14:paraId="22A1BCFB" w14:textId="77777777" w:rsidR="005A6DBB" w:rsidRDefault="00F93099">
      <w:pPr>
        <w:spacing w:before="120" w:after="120"/>
        <w:rPr>
          <w:lang w:val="en-US"/>
        </w:rPr>
      </w:pPr>
      <w:r>
        <w:rPr>
          <w:lang w:val="en-US"/>
        </w:rPr>
        <w:t>Per the consultation with the Municipality, it was established that there is no register of staff under suspension, on disciplinary action nor involved with legal processes.</w:t>
      </w:r>
    </w:p>
    <w:p w14:paraId="31DBA534" w14:textId="77777777" w:rsidR="005A6DBB" w:rsidRDefault="005A6DBB">
      <w:pPr>
        <w:spacing w:before="120" w:after="120"/>
        <w:rPr>
          <w:lang w:val="en-US"/>
        </w:rPr>
      </w:pPr>
    </w:p>
    <w:p w14:paraId="525D8253" w14:textId="77777777" w:rsidR="005A6DBB" w:rsidRDefault="005A6DBB">
      <w:pPr>
        <w:spacing w:before="120" w:after="120"/>
        <w:rPr>
          <w:lang w:val="en-US"/>
        </w:rPr>
      </w:pPr>
    </w:p>
    <w:p w14:paraId="685D7A19" w14:textId="77777777" w:rsidR="005A6DBB" w:rsidRDefault="005A6DBB">
      <w:pPr>
        <w:spacing w:before="120" w:after="120"/>
        <w:rPr>
          <w:lang w:val="en-US"/>
        </w:rPr>
      </w:pPr>
    </w:p>
    <w:p w14:paraId="65220A04" w14:textId="77777777" w:rsidR="005A6DBB" w:rsidRDefault="005A6DBB">
      <w:pPr>
        <w:spacing w:before="120" w:after="120"/>
        <w:rPr>
          <w:lang w:val="en-US"/>
        </w:rPr>
      </w:pPr>
    </w:p>
    <w:p w14:paraId="65E71BBC" w14:textId="77777777" w:rsidR="005A6DBB" w:rsidRDefault="005A6DBB">
      <w:pPr>
        <w:spacing w:before="120" w:after="120"/>
        <w:rPr>
          <w:lang w:val="en-US"/>
        </w:rPr>
      </w:pPr>
    </w:p>
    <w:p w14:paraId="6E1FE4CB" w14:textId="77777777" w:rsidR="005A6DBB" w:rsidRDefault="005A6DBB">
      <w:pPr>
        <w:spacing w:before="120" w:after="120"/>
        <w:rPr>
          <w:lang w:val="en-US"/>
        </w:rPr>
      </w:pPr>
    </w:p>
    <w:p w14:paraId="5899365B" w14:textId="77777777" w:rsidR="005A6DBB" w:rsidRDefault="005A6DBB">
      <w:pPr>
        <w:spacing w:before="120" w:after="120"/>
        <w:rPr>
          <w:lang w:val="en-US"/>
        </w:rPr>
      </w:pPr>
    </w:p>
    <w:p w14:paraId="08C72F95" w14:textId="77777777" w:rsidR="005A6DBB" w:rsidRDefault="005A6DBB">
      <w:pPr>
        <w:spacing w:before="120" w:after="120"/>
        <w:rPr>
          <w:lang w:val="en-US"/>
        </w:rPr>
      </w:pPr>
    </w:p>
    <w:p w14:paraId="5C791788" w14:textId="77777777" w:rsidR="005A6DBB" w:rsidRDefault="005A6DBB">
      <w:pPr>
        <w:spacing w:before="120" w:after="120"/>
        <w:rPr>
          <w:lang w:val="en-US"/>
        </w:rPr>
      </w:pPr>
    </w:p>
    <w:p w14:paraId="2C88A349" w14:textId="77777777" w:rsidR="005A6DBB" w:rsidRDefault="005A6DBB">
      <w:pPr>
        <w:spacing w:before="120" w:after="120"/>
        <w:rPr>
          <w:lang w:val="en-US"/>
        </w:rPr>
      </w:pPr>
    </w:p>
    <w:p w14:paraId="10ECEA0F" w14:textId="77777777" w:rsidR="005A6DBB" w:rsidRDefault="005A6DBB">
      <w:pPr>
        <w:spacing w:before="120" w:after="120"/>
        <w:rPr>
          <w:lang w:val="en-US"/>
        </w:rPr>
      </w:pPr>
    </w:p>
    <w:p w14:paraId="6BDC0050" w14:textId="77777777" w:rsidR="005A6DBB" w:rsidRDefault="005A6DBB">
      <w:pPr>
        <w:spacing w:before="120" w:after="120"/>
        <w:rPr>
          <w:lang w:val="en-US"/>
        </w:rPr>
      </w:pPr>
    </w:p>
    <w:p w14:paraId="06FB2E2F" w14:textId="77777777" w:rsidR="005A6DBB" w:rsidRDefault="005A6DBB">
      <w:pPr>
        <w:pStyle w:val="Heading2"/>
        <w:sectPr w:rsidR="005A6DBB">
          <w:headerReference w:type="default" r:id="rId33"/>
          <w:footerReference w:type="default" r:id="rId34"/>
          <w:headerReference w:type="first" r:id="rId35"/>
          <w:footerReference w:type="first" r:id="rId36"/>
          <w:pgSz w:w="11906" w:h="16838"/>
          <w:pgMar w:top="1418" w:right="1276" w:bottom="1418" w:left="1418" w:header="850" w:footer="0" w:gutter="0"/>
          <w:cols w:space="720"/>
          <w:titlePg/>
          <w:docGrid w:linePitch="360"/>
        </w:sectPr>
      </w:pPr>
    </w:p>
    <w:p w14:paraId="6D2783AF" w14:textId="77777777" w:rsidR="005A6DBB" w:rsidRDefault="00F93099">
      <w:pPr>
        <w:pStyle w:val="Heading2"/>
      </w:pPr>
      <w:bookmarkStart w:id="35" w:name="_Toc137732215"/>
      <w:r>
        <w:t>FINANCIAL MANAGEMENT</w:t>
      </w:r>
      <w:bookmarkEnd w:id="35"/>
      <w:r>
        <w:t xml:space="preserve"> </w:t>
      </w:r>
    </w:p>
    <w:p w14:paraId="1FF3BCC6" w14:textId="77777777" w:rsidR="005A6DBB" w:rsidRDefault="00F93099">
      <w:pPr>
        <w:spacing w:before="120" w:after="120"/>
        <w:rPr>
          <w:rFonts w:eastAsia="Calibri" w:cs="Calibri"/>
          <w:szCs w:val="22"/>
        </w:rPr>
      </w:pPr>
      <w:r>
        <w:rPr>
          <w:rFonts w:eastAsia="Calibri" w:cs="Calibri"/>
          <w:szCs w:val="22"/>
        </w:rPr>
        <w:t>MMM is facing huge financial distress and cash flow issues, unfunded budgets and overall poor financial management.  They key findings of the Status Quo Assessment are highlighted in the table below:</w:t>
      </w:r>
    </w:p>
    <w:tbl>
      <w:tblPr>
        <w:tblStyle w:val="TableGrid"/>
        <w:tblpPr w:leftFromText="180" w:rightFromText="180" w:vertAnchor="text" w:horzAnchor="margin" w:tblpY="104"/>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9"/>
        <w:gridCol w:w="3313"/>
        <w:gridCol w:w="3299"/>
        <w:gridCol w:w="3691"/>
      </w:tblGrid>
      <w:tr w:rsidR="005A6DBB" w14:paraId="6B009937" w14:textId="77777777">
        <w:trPr>
          <w:trHeight w:val="300"/>
          <w:tblHeader/>
        </w:trPr>
        <w:tc>
          <w:tcPr>
            <w:tcW w:w="1318" w:type="pct"/>
            <w:shd w:val="clear" w:color="auto" w:fill="002060"/>
          </w:tcPr>
          <w:p w14:paraId="649DB67E"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Focus Area</w:t>
            </w:r>
          </w:p>
        </w:tc>
        <w:tc>
          <w:tcPr>
            <w:tcW w:w="1184" w:type="pct"/>
            <w:shd w:val="clear" w:color="auto" w:fill="002060"/>
          </w:tcPr>
          <w:p w14:paraId="116EF351"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Brief Diagnostic Analysis</w:t>
            </w:r>
          </w:p>
        </w:tc>
        <w:tc>
          <w:tcPr>
            <w:tcW w:w="1179" w:type="pct"/>
            <w:shd w:val="clear" w:color="auto" w:fill="002060"/>
          </w:tcPr>
          <w:p w14:paraId="68792159"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Key Issue/ Root Causes</w:t>
            </w:r>
          </w:p>
        </w:tc>
        <w:tc>
          <w:tcPr>
            <w:tcW w:w="1319" w:type="pct"/>
            <w:shd w:val="clear" w:color="auto" w:fill="002060"/>
          </w:tcPr>
          <w:p w14:paraId="0A0132A5" w14:textId="77777777" w:rsidR="005A6DBB" w:rsidRDefault="00F93099">
            <w:pPr>
              <w:pStyle w:val="ListParagraph"/>
              <w:autoSpaceDE w:val="0"/>
              <w:autoSpaceDN w:val="0"/>
              <w:adjustRightInd w:val="0"/>
              <w:spacing w:before="120" w:after="120" w:line="360" w:lineRule="auto"/>
              <w:ind w:left="0"/>
              <w:contextualSpacing w:val="0"/>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Proposed Strategy to Resolve</w:t>
            </w:r>
          </w:p>
        </w:tc>
      </w:tr>
      <w:tr w:rsidR="005A6DBB" w14:paraId="2D66B945" w14:textId="77777777">
        <w:trPr>
          <w:trHeight w:val="1134"/>
        </w:trPr>
        <w:tc>
          <w:tcPr>
            <w:tcW w:w="1318" w:type="pct"/>
            <w:shd w:val="clear" w:color="auto" w:fill="D4E1ED"/>
          </w:tcPr>
          <w:p w14:paraId="1102B271"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Funded Budget and Budget Spending Limits</w:t>
            </w:r>
          </w:p>
        </w:tc>
        <w:tc>
          <w:tcPr>
            <w:tcW w:w="1184" w:type="pct"/>
            <w:shd w:val="clear" w:color="auto" w:fill="D4E1ED"/>
          </w:tcPr>
          <w:p w14:paraId="2F845C6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MMM budgeted surpluses as follows:</w:t>
            </w:r>
          </w:p>
          <w:p w14:paraId="03DA0D4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2020/21: R 1,035 billion</w:t>
            </w:r>
          </w:p>
          <w:p w14:paraId="5F3CFEB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2021/22: R 622,7 million </w:t>
            </w:r>
          </w:p>
          <w:p w14:paraId="42039D3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Audited financial results:</w:t>
            </w:r>
          </w:p>
          <w:p w14:paraId="1FB3742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2020/21: R 20.2 million deficit</w:t>
            </w:r>
          </w:p>
          <w:p w14:paraId="427B5A2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2021/22: R 827.7 million deficit</w:t>
            </w:r>
          </w:p>
          <w:p w14:paraId="113E522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This clearly indicate that the budgets were not funded. </w:t>
            </w:r>
          </w:p>
          <w:p w14:paraId="1EE3512E"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Cs w:val="20"/>
              </w:rPr>
            </w:pPr>
            <w:r>
              <w:rPr>
                <w:rFonts w:asciiTheme="minorHAnsi" w:hAnsiTheme="minorHAnsi" w:cstheme="minorHAnsi"/>
                <w:sz w:val="20"/>
                <w:szCs w:val="20"/>
                <w:lang w:eastAsia="en-US"/>
              </w:rPr>
              <w:t>Low collection rates not adequately considered in the budgeting processes.</w:t>
            </w:r>
          </w:p>
        </w:tc>
        <w:tc>
          <w:tcPr>
            <w:tcW w:w="1179" w:type="pct"/>
            <w:shd w:val="clear" w:color="auto" w:fill="D4E1ED"/>
          </w:tcPr>
          <w:p w14:paraId="11AE1A78"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Realistic collection rates not adequately considered in revenue projections and provision for impairment of debtors in budgeting processes.</w:t>
            </w:r>
          </w:p>
          <w:p w14:paraId="5F3A2F6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Insufficient provision for non-cash items (depreciation and debtor impairment provision).</w:t>
            </w:r>
          </w:p>
          <w:p w14:paraId="5638888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Unrealistic budgeting.</w:t>
            </w:r>
          </w:p>
          <w:p w14:paraId="51D9CF1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Poor revenue management with inability to collect revenue.</w:t>
            </w:r>
          </w:p>
          <w:p w14:paraId="2BEBC7AE"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Cs w:val="20"/>
              </w:rPr>
            </w:pPr>
            <w:r>
              <w:rPr>
                <w:rFonts w:asciiTheme="minorHAnsi" w:hAnsiTheme="minorHAnsi" w:cstheme="minorHAnsi"/>
                <w:sz w:val="20"/>
                <w:szCs w:val="20"/>
                <w:lang w:eastAsia="en-US"/>
              </w:rPr>
              <w:t>Credibility of Municipality and sustainability risks, including service delivery.</w:t>
            </w:r>
          </w:p>
        </w:tc>
        <w:tc>
          <w:tcPr>
            <w:tcW w:w="1319" w:type="pct"/>
            <w:shd w:val="clear" w:color="auto" w:fill="D4E1ED"/>
          </w:tcPr>
          <w:p w14:paraId="0F583BE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Compile realistic cash backed budgets going forward.</w:t>
            </w:r>
          </w:p>
          <w:p w14:paraId="46FDB5C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Provide realistic allocations for the provision for debt impairment.</w:t>
            </w:r>
          </w:p>
          <w:p w14:paraId="0E34408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Ensure cost reflective tariffs and scrutinise expenditure for unnecessary expenditure.</w:t>
            </w:r>
          </w:p>
          <w:p w14:paraId="059B763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Prepare, approve, and implement a Budget Funding Plan for the MTREF period linked to the FRP strategies and financial targets. Progress must be reported monthly and include targets as KPIs in performance plans.</w:t>
            </w:r>
          </w:p>
          <w:p w14:paraId="3812342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Implement accurate budgeting for non-cash items to generate cash to move the Municipality to a funded position.</w:t>
            </w:r>
          </w:p>
        </w:tc>
      </w:tr>
      <w:tr w:rsidR="005A6DBB" w14:paraId="7B3BB53A" w14:textId="77777777">
        <w:tc>
          <w:tcPr>
            <w:tcW w:w="1318" w:type="pct"/>
            <w:shd w:val="clear" w:color="auto" w:fill="BED3E4"/>
          </w:tcPr>
          <w:p w14:paraId="58DE5964"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Revenue Management:</w:t>
            </w:r>
          </w:p>
          <w:p w14:paraId="65183C8C"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b/>
                <w:bCs/>
                <w:sz w:val="20"/>
                <w:szCs w:val="20"/>
                <w:lang w:eastAsia="en-ZA"/>
              </w:rPr>
              <w:t>Billing and Collection</w:t>
            </w:r>
          </w:p>
        </w:tc>
        <w:tc>
          <w:tcPr>
            <w:tcW w:w="1184" w:type="pct"/>
            <w:shd w:val="clear" w:color="auto" w:fill="BED3E4"/>
          </w:tcPr>
          <w:p w14:paraId="6DD7C44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Collection rate indicates a downward trend:</w:t>
            </w:r>
          </w:p>
          <w:p w14:paraId="0992274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2019/20: 83.12%</w:t>
            </w:r>
          </w:p>
          <w:p w14:paraId="46F95A8E"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2020/21: 81.16%</w:t>
            </w:r>
          </w:p>
          <w:p w14:paraId="6713E74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2021/22: 79.44%</w:t>
            </w:r>
          </w:p>
          <w:p w14:paraId="019C8C0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Billing inconsistencies.</w:t>
            </w:r>
          </w:p>
          <w:p w14:paraId="6DB3A37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Municipal data (billing) not credible.</w:t>
            </w:r>
          </w:p>
          <w:p w14:paraId="1F938A7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Critical vacant posts are not filled.</w:t>
            </w:r>
          </w:p>
          <w:p w14:paraId="7A33C21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Broken meters not being fixed.</w:t>
            </w:r>
          </w:p>
        </w:tc>
        <w:tc>
          <w:tcPr>
            <w:tcW w:w="1179" w:type="pct"/>
            <w:shd w:val="clear" w:color="auto" w:fill="BED3E4"/>
          </w:tcPr>
          <w:p w14:paraId="2EA98B1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Incorrect billing.</w:t>
            </w:r>
          </w:p>
          <w:p w14:paraId="3949440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Loss of revenue.</w:t>
            </w:r>
          </w:p>
          <w:p w14:paraId="4AC3782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Inability to collect outstanding debt.</w:t>
            </w:r>
          </w:p>
        </w:tc>
        <w:tc>
          <w:tcPr>
            <w:tcW w:w="1319" w:type="pct"/>
            <w:shd w:val="clear" w:color="auto" w:fill="BED3E4"/>
          </w:tcPr>
          <w:p w14:paraId="47E4CE6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Perform an exercise of customer categorisation between those that can pay and those that are indigent to establish the true revenue base.</w:t>
            </w:r>
          </w:p>
          <w:p w14:paraId="2FCE15C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Data cleansing – three-way reconciliation of property rates (valuation), collection and   validation of customer information (contact details and tariff information) and continuous and regular updating of information.</w:t>
            </w:r>
          </w:p>
          <w:p w14:paraId="1026A2D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Conducting quarterly VR reconciliation with the billing system.</w:t>
            </w:r>
          </w:p>
          <w:p w14:paraId="35424F1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Filling of critical vacant positions.</w:t>
            </w:r>
          </w:p>
          <w:p w14:paraId="4BE0697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Revenue enhancement initiatives need to be implemented and billing and collection and credit control processes need to be set and complied with.</w:t>
            </w:r>
          </w:p>
        </w:tc>
      </w:tr>
      <w:tr w:rsidR="005A6DBB" w14:paraId="06F686FF" w14:textId="77777777">
        <w:tc>
          <w:tcPr>
            <w:tcW w:w="1318" w:type="pct"/>
            <w:shd w:val="clear" w:color="auto" w:fill="D4E1ED"/>
          </w:tcPr>
          <w:p w14:paraId="3CA46396"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Revenue Management:</w:t>
            </w:r>
          </w:p>
          <w:p w14:paraId="098D5287" w14:textId="77777777" w:rsidR="005A6DBB" w:rsidRDefault="00F93099">
            <w:pPr>
              <w:autoSpaceDE w:val="0"/>
              <w:autoSpaceDN w:val="0"/>
              <w:adjustRightInd w:val="0"/>
              <w:spacing w:before="120" w:after="120"/>
              <w:jc w:val="left"/>
              <w:rPr>
                <w:rFonts w:asciiTheme="minorHAnsi" w:hAnsiTheme="minorHAnsi" w:cstheme="minorHAnsi"/>
                <w:sz w:val="20"/>
                <w:szCs w:val="20"/>
                <w:lang w:eastAsia="en-ZA"/>
              </w:rPr>
            </w:pPr>
            <w:r>
              <w:rPr>
                <w:rFonts w:asciiTheme="minorHAnsi" w:hAnsiTheme="minorHAnsi" w:cstheme="minorHAnsi"/>
                <w:b/>
                <w:bCs/>
                <w:sz w:val="20"/>
                <w:szCs w:val="20"/>
                <w:lang w:eastAsia="en-ZA"/>
              </w:rPr>
              <w:t>Infrastructure and Service Delivery</w:t>
            </w:r>
          </w:p>
        </w:tc>
        <w:tc>
          <w:tcPr>
            <w:tcW w:w="1184" w:type="pct"/>
            <w:shd w:val="clear" w:color="auto" w:fill="D4E1ED"/>
          </w:tcPr>
          <w:p w14:paraId="0DA3C12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Inability to repair and replace meters by Technical Department.</w:t>
            </w:r>
          </w:p>
          <w:p w14:paraId="5E35291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Illegal connections in water and electricity.</w:t>
            </w:r>
          </w:p>
          <w:p w14:paraId="38772FB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Inconsistent, interrupted, and low quality of supply of water and electricity services.</w:t>
            </w:r>
          </w:p>
          <w:p w14:paraId="4F6EC58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High technical and non-technical distribution losses due to old infrastructure and illegal connections. </w:t>
            </w:r>
          </w:p>
          <w:p w14:paraId="679C35B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b/>
                <w:bCs/>
                <w:sz w:val="20"/>
                <w:szCs w:val="20"/>
                <w:lang w:eastAsia="en-US"/>
              </w:rPr>
            </w:pPr>
            <w:r>
              <w:rPr>
                <w:rFonts w:asciiTheme="minorHAnsi" w:hAnsiTheme="minorHAnsi" w:cstheme="minorHAnsi"/>
                <w:b/>
                <w:bCs/>
                <w:sz w:val="20"/>
                <w:szCs w:val="20"/>
                <w:lang w:eastAsia="en-US"/>
              </w:rPr>
              <w:t>Electricity distribution losses:</w:t>
            </w:r>
          </w:p>
          <w:p w14:paraId="6EC5825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2021/22: 10.96% (R 242 mil)</w:t>
            </w:r>
          </w:p>
          <w:p w14:paraId="2A276F0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2020/21: 10.05% (R 183 mil)</w:t>
            </w:r>
          </w:p>
          <w:p w14:paraId="45DA097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b/>
                <w:bCs/>
                <w:sz w:val="20"/>
                <w:szCs w:val="20"/>
                <w:lang w:eastAsia="en-US"/>
              </w:rPr>
            </w:pPr>
            <w:r>
              <w:rPr>
                <w:rFonts w:asciiTheme="minorHAnsi" w:hAnsiTheme="minorHAnsi" w:cstheme="minorHAnsi"/>
                <w:b/>
                <w:bCs/>
                <w:sz w:val="20"/>
                <w:szCs w:val="20"/>
                <w:lang w:eastAsia="en-US"/>
              </w:rPr>
              <w:t>Water distribution losses:</w:t>
            </w:r>
          </w:p>
          <w:p w14:paraId="58AA42D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2021/22: 45% (R 407 mil)</w:t>
            </w:r>
          </w:p>
          <w:p w14:paraId="16D2404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2020/21: 45% (R 337 mil)</w:t>
            </w:r>
          </w:p>
        </w:tc>
        <w:tc>
          <w:tcPr>
            <w:tcW w:w="1179" w:type="pct"/>
            <w:shd w:val="clear" w:color="auto" w:fill="D4E1ED"/>
          </w:tcPr>
          <w:p w14:paraId="1AF9341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Loss of revenue.</w:t>
            </w:r>
          </w:p>
          <w:p w14:paraId="6550550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Un-metered water and electricity consumption.</w:t>
            </w:r>
          </w:p>
          <w:p w14:paraId="55DC003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Aged and inefficient infrastructure.</w:t>
            </w:r>
          </w:p>
          <w:p w14:paraId="7400D05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control and enforcement of by-laws over illegal connections.</w:t>
            </w:r>
          </w:p>
          <w:p w14:paraId="5E45605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Lack of plan to monitor and repair old infrastructure. </w:t>
            </w:r>
          </w:p>
        </w:tc>
        <w:tc>
          <w:tcPr>
            <w:tcW w:w="1319" w:type="pct"/>
            <w:shd w:val="clear" w:color="auto" w:fill="D4E1ED"/>
          </w:tcPr>
          <w:p w14:paraId="268DAF1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Ensure all properties are metered.</w:t>
            </w:r>
          </w:p>
          <w:p w14:paraId="2481E14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Engage community Liaison Officers and local councillors to engage the “no go areas”.</w:t>
            </w:r>
          </w:p>
          <w:p w14:paraId="25ABA92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Metering (verification, auditing, and consistent reading of meters).</w:t>
            </w:r>
          </w:p>
          <w:p w14:paraId="4583E5A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Identification and valuing of municipal properties for leasing purposes.</w:t>
            </w:r>
          </w:p>
          <w:p w14:paraId="700EE86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Prioritise curbing of water and electricity distribution losses.</w:t>
            </w:r>
          </w:p>
        </w:tc>
      </w:tr>
      <w:tr w:rsidR="005A6DBB" w14:paraId="7CBBAB2D" w14:textId="77777777">
        <w:tc>
          <w:tcPr>
            <w:tcW w:w="1318" w:type="pct"/>
            <w:shd w:val="clear" w:color="auto" w:fill="BED3E4"/>
          </w:tcPr>
          <w:p w14:paraId="3AA59484" w14:textId="77777777" w:rsidR="005A6DBB" w:rsidRDefault="00F93099">
            <w:pPr>
              <w:autoSpaceDE w:val="0"/>
              <w:autoSpaceDN w:val="0"/>
              <w:adjustRightInd w:val="0"/>
              <w:spacing w:before="120" w:after="120"/>
              <w:jc w:val="left"/>
              <w:rPr>
                <w:rFonts w:asciiTheme="minorHAnsi" w:hAnsiTheme="minorHAnsi" w:cstheme="minorHAnsi"/>
                <w:b/>
                <w:sz w:val="20"/>
                <w:szCs w:val="20"/>
                <w:lang w:eastAsia="en-ZA"/>
              </w:rPr>
            </w:pPr>
            <w:r>
              <w:rPr>
                <w:rFonts w:asciiTheme="minorHAnsi" w:hAnsiTheme="minorHAnsi" w:cstheme="minorHAnsi"/>
                <w:b/>
                <w:sz w:val="20"/>
                <w:szCs w:val="20"/>
                <w:lang w:eastAsia="en-ZA"/>
              </w:rPr>
              <w:t>Debtors Management</w:t>
            </w:r>
          </w:p>
        </w:tc>
        <w:tc>
          <w:tcPr>
            <w:tcW w:w="1184" w:type="pct"/>
            <w:shd w:val="clear" w:color="auto" w:fill="BED3E4"/>
          </w:tcPr>
          <w:p w14:paraId="7D3F686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Culture of non-payment by consumers.</w:t>
            </w:r>
          </w:p>
          <w:p w14:paraId="049589E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Inefficient and ineffective internal controls.</w:t>
            </w:r>
          </w:p>
          <w:p w14:paraId="77D7D28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Disruptions on implementation of credit control.</w:t>
            </w:r>
          </w:p>
          <w:p w14:paraId="2DB3A78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Reconciliations not performed monthly.</w:t>
            </w:r>
          </w:p>
        </w:tc>
        <w:tc>
          <w:tcPr>
            <w:tcW w:w="1179" w:type="pct"/>
            <w:shd w:val="clear" w:color="auto" w:fill="BED3E4"/>
          </w:tcPr>
          <w:p w14:paraId="602EF23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Low collection rate results in cash flow challenges for the Municipality. </w:t>
            </w:r>
          </w:p>
          <w:p w14:paraId="040FBBD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Credit control not being fully implemented.,</w:t>
            </w:r>
          </w:p>
          <w:p w14:paraId="6AA705D8"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Lack of engagement (for collection of outstanding amounts and making payment plans) with debtors that have capacity to pay such as organs of the state and businesses.</w:t>
            </w:r>
          </w:p>
        </w:tc>
        <w:tc>
          <w:tcPr>
            <w:tcW w:w="1319" w:type="pct"/>
            <w:shd w:val="clear" w:color="auto" w:fill="BED3E4"/>
          </w:tcPr>
          <w:p w14:paraId="2498134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Making the payment for services easier for the clients e.g. satellite offices in outlying areas, community halls, etc.</w:t>
            </w:r>
          </w:p>
          <w:p w14:paraId="79283C2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Write-off bad debts as per the approved credit control and debt collection policy. This will assist with determining the cash backed part of the accounts receivable.</w:t>
            </w:r>
          </w:p>
          <w:p w14:paraId="1799325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Hand over the debtor’s book to debt collectors using a performance-based agreement that is traceable and measurable.</w:t>
            </w:r>
          </w:p>
          <w:p w14:paraId="6B2DCD4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Contact government departments that owe the municipality and establish the payment terms. If that fails seek Provincial Treasury intervention and/or cut off services.</w:t>
            </w:r>
          </w:p>
          <w:p w14:paraId="5728550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Stratify debtors into different buckets based on the expected recoverability.</w:t>
            </w:r>
          </w:p>
          <w:p w14:paraId="41522DA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Development of key customer engagements (quarterly) and relationship building.</w:t>
            </w:r>
          </w:p>
          <w:p w14:paraId="08AD55A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Implement and update standard operating procedures for debtors management and training of internal staff.</w:t>
            </w:r>
          </w:p>
        </w:tc>
      </w:tr>
      <w:tr w:rsidR="005A6DBB" w14:paraId="570903EC" w14:textId="77777777">
        <w:tc>
          <w:tcPr>
            <w:tcW w:w="1318" w:type="pct"/>
            <w:shd w:val="clear" w:color="auto" w:fill="BED3E4"/>
          </w:tcPr>
          <w:p w14:paraId="46A2D070"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Cost-reflective Tariffs</w:t>
            </w:r>
          </w:p>
        </w:tc>
        <w:tc>
          <w:tcPr>
            <w:tcW w:w="1184" w:type="pct"/>
            <w:shd w:val="clear" w:color="auto" w:fill="BED3E4"/>
          </w:tcPr>
          <w:p w14:paraId="6F23328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Tariffs are not cost reflective.</w:t>
            </w:r>
          </w:p>
          <w:p w14:paraId="345636B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The deficits for the 2020/21 and 2021/22 financial years show that cost reflective tariffs have not been set which indicates bad budgeting processes.</w:t>
            </w:r>
          </w:p>
          <w:p w14:paraId="6A7DE40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The cost of sales of water exceeds the selling price, which is a direct result in losses.</w:t>
            </w:r>
          </w:p>
        </w:tc>
        <w:tc>
          <w:tcPr>
            <w:tcW w:w="1179" w:type="pct"/>
            <w:shd w:val="clear" w:color="auto" w:fill="BED3E4"/>
          </w:tcPr>
          <w:p w14:paraId="7AA16FF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Water is provided at a loss.</w:t>
            </w:r>
          </w:p>
          <w:p w14:paraId="1E51B3B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Historical and forecast tariffs are not cost reflective.</w:t>
            </w:r>
          </w:p>
          <w:p w14:paraId="3F67807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Setting tariffs that do not at least consider break-even point for the provision of electricity. This is contrary to existing legislation.</w:t>
            </w:r>
          </w:p>
          <w:p w14:paraId="00B8360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Lack of profitability analysis for each revenue stream.</w:t>
            </w:r>
          </w:p>
        </w:tc>
        <w:tc>
          <w:tcPr>
            <w:tcW w:w="1319" w:type="pct"/>
            <w:shd w:val="clear" w:color="auto" w:fill="BED3E4"/>
          </w:tcPr>
          <w:p w14:paraId="35FDEB2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Perform a cost reflective tariff calculation and introduce cost reflective tariffs considering affordability of consumers (using NT Tariff Model).</w:t>
            </w:r>
          </w:p>
          <w:p w14:paraId="693443D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Perform cost-volume profit analysis before setting the base tariff for electricity and water.</w:t>
            </w:r>
          </w:p>
          <w:p w14:paraId="151B654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Forecast tariffs that align with the rate of growth of tariffs forecasted by ESKOM and Bloem Water.</w:t>
            </w:r>
          </w:p>
        </w:tc>
      </w:tr>
      <w:tr w:rsidR="005A6DBB" w14:paraId="64D52767" w14:textId="77777777">
        <w:tc>
          <w:tcPr>
            <w:tcW w:w="1318" w:type="pct"/>
            <w:shd w:val="clear" w:color="auto" w:fill="BED3E4"/>
          </w:tcPr>
          <w:p w14:paraId="0FE8583E"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Indigent Management</w:t>
            </w:r>
          </w:p>
        </w:tc>
        <w:tc>
          <w:tcPr>
            <w:tcW w:w="1184" w:type="pct"/>
            <w:shd w:val="clear" w:color="auto" w:fill="BED3E4"/>
          </w:tcPr>
          <w:p w14:paraId="5F8DFE6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Outdated Indigent register.</w:t>
            </w:r>
          </w:p>
          <w:p w14:paraId="6565212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Indigent Household Management.</w:t>
            </w:r>
          </w:p>
          <w:p w14:paraId="73B706A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a verifying or vetting system.</w:t>
            </w:r>
          </w:p>
          <w:p w14:paraId="4F86204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Consumers who apply for the indigent household support subsidy from the Municipality are not verified and/or vetted prior to approval.</w:t>
            </w:r>
          </w:p>
          <w:p w14:paraId="67925E06" w14:textId="77777777" w:rsidR="005A6DBB" w:rsidRDefault="00F93099">
            <w:pPr>
              <w:pStyle w:val="ListParagraph"/>
              <w:autoSpaceDE w:val="0"/>
              <w:autoSpaceDN w:val="0"/>
              <w:adjustRightInd w:val="0"/>
              <w:spacing w:before="120" w:after="120" w:line="360" w:lineRule="auto"/>
              <w:ind w:left="0"/>
              <w:contextualSpacing w:val="0"/>
              <w:rPr>
                <w:rFonts w:asciiTheme="minorHAnsi" w:hAnsiTheme="minorHAnsi" w:cstheme="minorHAnsi"/>
                <w:sz w:val="20"/>
                <w:szCs w:val="20"/>
                <w:lang w:eastAsia="en-ZA"/>
              </w:rPr>
            </w:pPr>
            <w:r>
              <w:rPr>
                <w:rFonts w:asciiTheme="minorHAnsi" w:hAnsiTheme="minorHAnsi" w:cstheme="minorHAnsi"/>
                <w:sz w:val="20"/>
                <w:szCs w:val="20"/>
                <w:lang w:eastAsia="en-ZA"/>
              </w:rPr>
              <w:t>The effect of the above is that the indigent household subsidy may be granted to non-qualifying households.</w:t>
            </w:r>
          </w:p>
        </w:tc>
        <w:tc>
          <w:tcPr>
            <w:tcW w:w="1179" w:type="pct"/>
            <w:shd w:val="clear" w:color="auto" w:fill="BED3E4"/>
          </w:tcPr>
          <w:p w14:paraId="752DF88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Revenue Loss.</w:t>
            </w:r>
          </w:p>
          <w:p w14:paraId="7FA41F8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Indigent Register not credible.</w:t>
            </w:r>
          </w:p>
          <w:p w14:paraId="565B02DE"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Subsidy on basic services not allocated to the indigent households.</w:t>
            </w:r>
          </w:p>
          <w:p w14:paraId="7C89E3B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Revenue billing and collection targets will not be reached as customers may inappropriately receive free basic services.</w:t>
            </w:r>
          </w:p>
          <w:p w14:paraId="50F231AF" w14:textId="77777777" w:rsidR="005A6DBB" w:rsidRDefault="00F93099">
            <w:pPr>
              <w:pStyle w:val="ListParagraph"/>
              <w:keepNext/>
              <w:autoSpaceDE w:val="0"/>
              <w:autoSpaceDN w:val="0"/>
              <w:adjustRightInd w:val="0"/>
              <w:spacing w:before="120" w:after="120" w:line="360" w:lineRule="auto"/>
              <w:ind w:left="0"/>
              <w:contextualSpacing w:val="0"/>
              <w:rPr>
                <w:rFonts w:asciiTheme="minorHAnsi" w:hAnsiTheme="minorHAnsi" w:cstheme="minorHAnsi"/>
                <w:sz w:val="20"/>
                <w:szCs w:val="20"/>
              </w:rPr>
            </w:pPr>
            <w:r>
              <w:rPr>
                <w:rFonts w:asciiTheme="minorHAnsi" w:hAnsiTheme="minorHAnsi" w:cstheme="minorHAnsi"/>
                <w:sz w:val="20"/>
                <w:szCs w:val="20"/>
                <w:lang w:eastAsia="en-US"/>
              </w:rPr>
              <w:t>This is contrary to the prescripts of the cost containment endeavour by the municipality as the cost is not recovered from the customers with ability to pay.</w:t>
            </w:r>
          </w:p>
        </w:tc>
        <w:tc>
          <w:tcPr>
            <w:tcW w:w="1319" w:type="pct"/>
            <w:shd w:val="clear" w:color="auto" w:fill="BED3E4"/>
          </w:tcPr>
          <w:p w14:paraId="7668DB9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Implement the approved Indigent Household Policy and by-laws.</w:t>
            </w:r>
          </w:p>
          <w:p w14:paraId="2FBE1C7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The process should be ongoing to ensure the indigent register is always up to date.</w:t>
            </w:r>
          </w:p>
          <w:p w14:paraId="2B56894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A quantitative cost benefit analysis should be carried out to determine the most financially optimal option for the verification of indigent households. This is essentially an evaluation of manual verification compared to obtaining a system.</w:t>
            </w:r>
          </w:p>
          <w:p w14:paraId="31DC207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A cost benefit analysis should be carried out for the lease vs buy decision in relation to the verification system.</w:t>
            </w:r>
          </w:p>
        </w:tc>
      </w:tr>
      <w:tr w:rsidR="005A6DBB" w14:paraId="3DE8B812" w14:textId="77777777">
        <w:tc>
          <w:tcPr>
            <w:tcW w:w="1318" w:type="pct"/>
            <w:shd w:val="clear" w:color="auto" w:fill="BED3E4"/>
          </w:tcPr>
          <w:p w14:paraId="60557587"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Supply Chain Management Compliance and Value for Money Procurement</w:t>
            </w:r>
          </w:p>
        </w:tc>
        <w:tc>
          <w:tcPr>
            <w:tcW w:w="1184" w:type="pct"/>
            <w:shd w:val="clear" w:color="auto" w:fill="BED3E4"/>
          </w:tcPr>
          <w:p w14:paraId="498AB77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Non-compliance with SCM.</w:t>
            </w:r>
          </w:p>
          <w:p w14:paraId="69AC96D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Poor Conditional Grant Management.</w:t>
            </w:r>
          </w:p>
          <w:p w14:paraId="1D23645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Unspent conditional grants as at 30 June 2022 totalled</w:t>
            </w:r>
            <w:r>
              <w:rPr>
                <w:rFonts w:asciiTheme="minorHAnsi" w:hAnsiTheme="minorHAnsi" w:cstheme="minorHAnsi"/>
                <w:sz w:val="20"/>
                <w:szCs w:val="20"/>
                <w:lang w:eastAsia="en-ZA"/>
              </w:rPr>
              <w:t xml:space="preserve"> R571.0 million with insufficient cash on hand to cover this.</w:t>
            </w:r>
          </w:p>
          <w:p w14:paraId="71CD13D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ZA"/>
              </w:rPr>
              <w:t>UIF</w:t>
            </w:r>
            <w:r>
              <w:rPr>
                <w:rFonts w:asciiTheme="minorHAnsi" w:hAnsiTheme="minorHAnsi" w:cstheme="minorHAnsi"/>
                <w:sz w:val="20"/>
                <w:szCs w:val="20"/>
                <w:lang w:eastAsia="en-US"/>
              </w:rPr>
              <w:t>&amp;W as at 30 June 2022:</w:t>
            </w:r>
          </w:p>
          <w:p w14:paraId="637F7F8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Unauthorised: R 5.6 billion;</w:t>
            </w:r>
          </w:p>
          <w:p w14:paraId="2D4BC56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Irregular: R 3.1 billion; and</w:t>
            </w:r>
          </w:p>
          <w:p w14:paraId="4EE0706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Fruitless and Wasteful: R 240 million.</w:t>
            </w:r>
          </w:p>
        </w:tc>
        <w:tc>
          <w:tcPr>
            <w:tcW w:w="1179" w:type="pct"/>
            <w:shd w:val="clear" w:color="auto" w:fill="BED3E4"/>
          </w:tcPr>
          <w:p w14:paraId="13443E6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understanding of SCM regulations.</w:t>
            </w:r>
          </w:p>
          <w:p w14:paraId="3C1A2D3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consequence management.</w:t>
            </w:r>
          </w:p>
          <w:p w14:paraId="5344606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Lack of adequate qualified staff to monitor contractors.</w:t>
            </w:r>
          </w:p>
          <w:p w14:paraId="0132503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Contractors on site were not monitored.</w:t>
            </w:r>
          </w:p>
          <w:p w14:paraId="023B314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Excessive UIF&amp;W expenditure which clearly indicate the lack of consequence management and deficiencies in the SCM processes.</w:t>
            </w:r>
          </w:p>
        </w:tc>
        <w:tc>
          <w:tcPr>
            <w:tcW w:w="1319" w:type="pct"/>
            <w:shd w:val="clear" w:color="auto" w:fill="BED3E4"/>
          </w:tcPr>
          <w:p w14:paraId="33DF5E7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Adhere to SCM Policy and Regulations.</w:t>
            </w:r>
          </w:p>
          <w:p w14:paraId="1B3709F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Consequence management policy to be implemented by HR.</w:t>
            </w:r>
          </w:p>
          <w:p w14:paraId="29867CB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Training of staff regarding the SCM processes.</w:t>
            </w:r>
          </w:p>
          <w:p w14:paraId="276C811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Compilation of the contract register and contract management policies.</w:t>
            </w:r>
          </w:p>
          <w:p w14:paraId="08A04AE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Implement contract monitoring controls and adhere to this on a monthly basis.</w:t>
            </w:r>
          </w:p>
          <w:p w14:paraId="0867047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UIF&amp;W expenditure to be interrogated with reasons therefore and to be submitted to Council for their decision on what action should be taken based on management’s recommendations.  Institute legal action and consequence management based on the outcomes of the investigations.</w:t>
            </w:r>
          </w:p>
          <w:p w14:paraId="7323C27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The disciplinary board must become operational so that action can be taken against staff involved in criminal and legal non-compliant activities.</w:t>
            </w:r>
          </w:p>
        </w:tc>
      </w:tr>
      <w:tr w:rsidR="005A6DBB" w14:paraId="3895A39B" w14:textId="77777777">
        <w:tc>
          <w:tcPr>
            <w:tcW w:w="1318" w:type="pct"/>
            <w:shd w:val="clear" w:color="auto" w:fill="BED3E4"/>
          </w:tcPr>
          <w:p w14:paraId="23EA626F"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Financial Control Environment</w:t>
            </w:r>
          </w:p>
        </w:tc>
        <w:tc>
          <w:tcPr>
            <w:tcW w:w="1184" w:type="pct"/>
            <w:shd w:val="clear" w:color="auto" w:fill="BED3E4"/>
          </w:tcPr>
          <w:p w14:paraId="71CEF24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Preparation of Annual Financial Statements (AFS) not fully compliant resulting in a qualified audit opinion.</w:t>
            </w:r>
          </w:p>
          <w:p w14:paraId="2B3138E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Not paying creditors including bulk purchases within 30 days.</w:t>
            </w:r>
          </w:p>
          <w:p w14:paraId="1A5FD44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Persistent AG findings not addressed and lack of accountability.</w:t>
            </w:r>
          </w:p>
          <w:p w14:paraId="6960492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Weak internal control on budget and expenditure management standard operating procedures.</w:t>
            </w:r>
          </w:p>
          <w:p w14:paraId="2DE3BD2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proofErr w:type="spellStart"/>
            <w:r>
              <w:rPr>
                <w:rFonts w:asciiTheme="minorHAnsi" w:hAnsiTheme="minorHAnsi" w:cstheme="minorHAnsi"/>
                <w:sz w:val="20"/>
                <w:szCs w:val="20"/>
                <w:lang w:eastAsia="en-US"/>
              </w:rPr>
              <w:t>mSCOA</w:t>
            </w:r>
            <w:proofErr w:type="spellEnd"/>
            <w:r>
              <w:rPr>
                <w:rFonts w:asciiTheme="minorHAnsi" w:hAnsiTheme="minorHAnsi" w:cstheme="minorHAnsi"/>
                <w:sz w:val="20"/>
                <w:szCs w:val="20"/>
                <w:lang w:eastAsia="en-US"/>
              </w:rPr>
              <w:t xml:space="preserve"> strings are not fully implemented and compliant.</w:t>
            </w:r>
          </w:p>
        </w:tc>
        <w:tc>
          <w:tcPr>
            <w:tcW w:w="1179" w:type="pct"/>
            <w:shd w:val="clear" w:color="auto" w:fill="BED3E4"/>
          </w:tcPr>
          <w:p w14:paraId="14DB71E8"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Non-compliance with the MFMA, not paying creditors within 30 days.</w:t>
            </w:r>
          </w:p>
          <w:p w14:paraId="41AD9FBB"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Poor control over the financial preparation and financial management processes.</w:t>
            </w:r>
          </w:p>
          <w:p w14:paraId="3CD5A99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Incomplete and poor accounting data. Pervasive issues disclaimed on by the AG limits the reliability of the information for decision making in a turnaround strategy.</w:t>
            </w:r>
          </w:p>
          <w:p w14:paraId="6BD7EBD5"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Lack of an AFS project plan in preparing the financials and all supporting information and schedules. </w:t>
            </w:r>
          </w:p>
          <w:p w14:paraId="557F2C62"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Credibility of Municipality at risk.</w:t>
            </w:r>
          </w:p>
        </w:tc>
        <w:tc>
          <w:tcPr>
            <w:tcW w:w="1319" w:type="pct"/>
            <w:shd w:val="clear" w:color="auto" w:fill="BED3E4"/>
          </w:tcPr>
          <w:p w14:paraId="0AD69BE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Update and implement SOPs, training of staff and support.</w:t>
            </w:r>
          </w:p>
          <w:p w14:paraId="66286AE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System vendor to be engaged as regards financial system inaccuracies.</w:t>
            </w:r>
          </w:p>
          <w:p w14:paraId="379AD6CC"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Management of AFS plan should form part of staff’s KPI’s.</w:t>
            </w:r>
          </w:p>
          <w:p w14:paraId="4A2F1BA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Review the progress of the Audit Action Plan immediately after the issue of the audit report, provide practical action plan, track progress thereof around at interim AFS preparation and review stage.</w:t>
            </w:r>
          </w:p>
          <w:p w14:paraId="0C4419A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Training of internal audit on the adequate review of AFS and the cash flow statement before submission to the AG.</w:t>
            </w:r>
          </w:p>
          <w:p w14:paraId="2B98E28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Make arrangements with creditors to repay current and outstanding amounts.</w:t>
            </w:r>
          </w:p>
          <w:p w14:paraId="23380E9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Comply with the repayment arrangements by compiling a cash backed budget.</w:t>
            </w:r>
          </w:p>
        </w:tc>
      </w:tr>
      <w:tr w:rsidR="005A6DBB" w14:paraId="21E4CF9A" w14:textId="77777777">
        <w:tc>
          <w:tcPr>
            <w:tcW w:w="1318" w:type="pct"/>
            <w:shd w:val="clear" w:color="auto" w:fill="BED3E4"/>
          </w:tcPr>
          <w:p w14:paraId="5FB253D6"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Municipal Entity: Centlec</w:t>
            </w:r>
          </w:p>
        </w:tc>
        <w:tc>
          <w:tcPr>
            <w:tcW w:w="1184" w:type="pct"/>
            <w:shd w:val="clear" w:color="auto" w:fill="BED3E4"/>
          </w:tcPr>
          <w:p w14:paraId="5747337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The relevant balances as at 30 June 2022 are:</w:t>
            </w:r>
          </w:p>
          <w:p w14:paraId="618E970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Cash on hand R509.3 million;</w:t>
            </w:r>
          </w:p>
          <w:p w14:paraId="3644BAD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Payables R890.8 million;</w:t>
            </w:r>
          </w:p>
          <w:p w14:paraId="05C18987"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Deficit 2021/22 R189,5 million;</w:t>
            </w:r>
          </w:p>
          <w:p w14:paraId="6CC5C054"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Deficit 2020/21 R13.7 million;</w:t>
            </w:r>
          </w:p>
          <w:p w14:paraId="797050D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Employee related costs R425.6 million;</w:t>
            </w:r>
          </w:p>
          <w:p w14:paraId="64DB6CA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Duplication of management and board members; and</w:t>
            </w:r>
          </w:p>
          <w:p w14:paraId="50E517D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MMM not able to use electricity as a lever for collection of other debts e.g., rates, water, etc.</w:t>
            </w:r>
          </w:p>
        </w:tc>
        <w:tc>
          <w:tcPr>
            <w:tcW w:w="1179" w:type="pct"/>
            <w:shd w:val="clear" w:color="auto" w:fill="BED3E4"/>
          </w:tcPr>
          <w:p w14:paraId="7FCF872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From the figures it is noted that CENTLEC has serious going concern challenges, operating on deficits and do not have sufficient cash at hand to settle short term liabilities.</w:t>
            </w:r>
          </w:p>
        </w:tc>
        <w:tc>
          <w:tcPr>
            <w:tcW w:w="1319" w:type="pct"/>
            <w:shd w:val="clear" w:color="auto" w:fill="BED3E4"/>
          </w:tcPr>
          <w:p w14:paraId="57803E3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 xml:space="preserve">Perform a section 78 study to see the possibility of incorporating CENTLEC into MMM.  </w:t>
            </w:r>
          </w:p>
          <w:p w14:paraId="6DE0224A"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As it currently stands, and before re-incorporating this service into the Municipality, CENTLEC’s performance must be monitored continuously.</w:t>
            </w:r>
          </w:p>
          <w:p w14:paraId="4A906E50"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Review operating and governance model/ arrangements.</w:t>
            </w:r>
          </w:p>
        </w:tc>
      </w:tr>
      <w:tr w:rsidR="005A6DBB" w14:paraId="784B6B39" w14:textId="77777777">
        <w:tc>
          <w:tcPr>
            <w:tcW w:w="1318" w:type="pct"/>
            <w:shd w:val="clear" w:color="auto" w:fill="BED3E4"/>
          </w:tcPr>
          <w:p w14:paraId="61FD06EF" w14:textId="77777777" w:rsidR="005A6DBB" w:rsidRDefault="00F93099">
            <w:pPr>
              <w:autoSpaceDE w:val="0"/>
              <w:autoSpaceDN w:val="0"/>
              <w:adjustRightInd w:val="0"/>
              <w:spacing w:before="120" w:after="120"/>
              <w:jc w:val="left"/>
              <w:rPr>
                <w:rFonts w:asciiTheme="minorHAnsi" w:hAnsiTheme="minorHAnsi" w:cstheme="minorHAnsi"/>
                <w:b/>
                <w:bCs/>
                <w:sz w:val="20"/>
                <w:szCs w:val="20"/>
                <w:lang w:eastAsia="en-ZA"/>
              </w:rPr>
            </w:pPr>
            <w:r>
              <w:rPr>
                <w:rFonts w:asciiTheme="minorHAnsi" w:hAnsiTheme="minorHAnsi" w:cstheme="minorHAnsi"/>
                <w:b/>
                <w:bCs/>
                <w:sz w:val="20"/>
                <w:szCs w:val="20"/>
                <w:lang w:eastAsia="en-ZA"/>
              </w:rPr>
              <w:t>Municipal Entity: FRESHCO</w:t>
            </w:r>
          </w:p>
        </w:tc>
        <w:tc>
          <w:tcPr>
            <w:tcW w:w="1184" w:type="pct"/>
            <w:shd w:val="clear" w:color="auto" w:fill="BED3E4"/>
          </w:tcPr>
          <w:p w14:paraId="42FFDD4F"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ZA"/>
              </w:rPr>
            </w:pPr>
            <w:r>
              <w:rPr>
                <w:rFonts w:asciiTheme="minorHAnsi" w:hAnsiTheme="minorHAnsi" w:cstheme="minorHAnsi"/>
                <w:sz w:val="20"/>
                <w:szCs w:val="20"/>
                <w:lang w:eastAsia="en-US"/>
              </w:rPr>
              <w:t>Per the consultation process, it was established that the non-payment of water and rental accounts followed the liquidation of the managing company, FRESHCO, and the takeover of administration by the Social Housing Regulatory Authority (SHRA) in 2019.</w:t>
            </w:r>
          </w:p>
        </w:tc>
        <w:tc>
          <w:tcPr>
            <w:tcW w:w="1179" w:type="pct"/>
            <w:shd w:val="clear" w:color="auto" w:fill="BED3E4"/>
          </w:tcPr>
          <w:p w14:paraId="6CD9FB69"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Loss of revenue.</w:t>
            </w:r>
          </w:p>
          <w:p w14:paraId="018ED193"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Mismanagement leading to be placed under administration.</w:t>
            </w:r>
          </w:p>
          <w:p w14:paraId="5F0AB39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Growing liabilities.</w:t>
            </w:r>
          </w:p>
          <w:p w14:paraId="3897A03D"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Lack of service delivery.</w:t>
            </w:r>
          </w:p>
        </w:tc>
        <w:tc>
          <w:tcPr>
            <w:tcW w:w="1319" w:type="pct"/>
            <w:shd w:val="clear" w:color="auto" w:fill="BED3E4"/>
          </w:tcPr>
          <w:p w14:paraId="2BEB0BF1"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lang w:eastAsia="en-US"/>
              </w:rPr>
            </w:pPr>
            <w:r>
              <w:rPr>
                <w:rFonts w:asciiTheme="minorHAnsi" w:hAnsiTheme="minorHAnsi" w:cstheme="minorHAnsi"/>
                <w:sz w:val="20"/>
                <w:szCs w:val="20"/>
                <w:lang w:eastAsia="en-US"/>
              </w:rPr>
              <w:t>Given the Entity’s poor financial performance, placed under administration, and growing liabilities due to mismanagement, it is recommended that entity be dissolved and incorporated into MMM, taking into account all VAT and related tax implications.</w:t>
            </w:r>
          </w:p>
          <w:p w14:paraId="7335F6D6" w14:textId="77777777" w:rsidR="005A6DBB" w:rsidRDefault="00F93099">
            <w:pPr>
              <w:pStyle w:val="ListParagraph"/>
              <w:autoSpaceDE w:val="0"/>
              <w:autoSpaceDN w:val="0"/>
              <w:adjustRightInd w:val="0"/>
              <w:spacing w:before="120" w:after="120" w:line="36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lang w:eastAsia="en-US"/>
              </w:rPr>
              <w:t>Review operating and governance model/ arrangements.</w:t>
            </w:r>
          </w:p>
        </w:tc>
      </w:tr>
    </w:tbl>
    <w:p w14:paraId="005D50BD" w14:textId="77777777" w:rsidR="005A6DBB" w:rsidRDefault="005A6DBB">
      <w:pPr>
        <w:spacing w:before="120" w:after="120"/>
        <w:rPr>
          <w:rFonts w:eastAsia="Calibri" w:cs="Calibri"/>
          <w:szCs w:val="22"/>
        </w:rPr>
      </w:pPr>
    </w:p>
    <w:p w14:paraId="16EF0CD9" w14:textId="77777777" w:rsidR="005A6DBB" w:rsidRDefault="005A6DBB">
      <w:pPr>
        <w:spacing w:before="120" w:after="120"/>
        <w:rPr>
          <w:rFonts w:eastAsia="Calibri" w:cs="Calibri"/>
          <w:szCs w:val="22"/>
        </w:rPr>
      </w:pPr>
    </w:p>
    <w:p w14:paraId="6BCC9E6C" w14:textId="77777777" w:rsidR="005A6DBB" w:rsidRDefault="005A6DBB">
      <w:pPr>
        <w:spacing w:before="120" w:after="120"/>
        <w:rPr>
          <w:rFonts w:eastAsia="Calibri" w:cs="Calibri"/>
          <w:szCs w:val="22"/>
        </w:rPr>
      </w:pPr>
    </w:p>
    <w:p w14:paraId="23E68948" w14:textId="77777777" w:rsidR="005A6DBB" w:rsidRDefault="005A6DBB">
      <w:pPr>
        <w:spacing w:before="120" w:after="120"/>
        <w:rPr>
          <w:rFonts w:eastAsia="Calibri" w:cs="Calibri"/>
          <w:szCs w:val="22"/>
        </w:rPr>
      </w:pPr>
    </w:p>
    <w:p w14:paraId="5E2D585C" w14:textId="77777777" w:rsidR="005A6DBB" w:rsidRDefault="005A6DBB">
      <w:pPr>
        <w:spacing w:before="120" w:after="120"/>
        <w:rPr>
          <w:rFonts w:eastAsia="Calibri" w:cs="Calibri"/>
          <w:szCs w:val="22"/>
        </w:rPr>
      </w:pPr>
    </w:p>
    <w:p w14:paraId="0CA3AD06" w14:textId="77777777" w:rsidR="005A6DBB" w:rsidRDefault="005A6DBB">
      <w:pPr>
        <w:spacing w:before="120" w:after="120"/>
        <w:rPr>
          <w:rFonts w:eastAsia="Calibri" w:cs="Calibri"/>
          <w:szCs w:val="22"/>
        </w:rPr>
      </w:pPr>
    </w:p>
    <w:p w14:paraId="7E316C5C" w14:textId="77777777" w:rsidR="005A6DBB" w:rsidRDefault="005A6DBB">
      <w:pPr>
        <w:spacing w:before="120" w:after="120"/>
        <w:rPr>
          <w:rFonts w:eastAsia="Calibri" w:cs="Calibri"/>
          <w:szCs w:val="22"/>
        </w:rPr>
      </w:pPr>
    </w:p>
    <w:p w14:paraId="4916F391" w14:textId="77777777" w:rsidR="005A6DBB" w:rsidRDefault="005A6DBB">
      <w:pPr>
        <w:spacing w:before="120" w:after="120"/>
        <w:rPr>
          <w:rFonts w:eastAsia="Calibri" w:cs="Calibri"/>
          <w:szCs w:val="22"/>
        </w:rPr>
      </w:pPr>
    </w:p>
    <w:p w14:paraId="108ADC1E" w14:textId="77777777" w:rsidR="005A6DBB" w:rsidRDefault="005A6DBB">
      <w:pPr>
        <w:spacing w:before="120" w:after="120"/>
        <w:rPr>
          <w:rFonts w:eastAsia="Calibri" w:cs="Calibri"/>
          <w:szCs w:val="22"/>
        </w:rPr>
      </w:pPr>
    </w:p>
    <w:p w14:paraId="3A2B2797" w14:textId="77777777" w:rsidR="005A6DBB" w:rsidRDefault="005A6DBB">
      <w:pPr>
        <w:spacing w:before="120" w:after="120"/>
        <w:rPr>
          <w:rFonts w:eastAsia="Calibri" w:cs="Calibri"/>
          <w:szCs w:val="22"/>
        </w:rPr>
      </w:pPr>
    </w:p>
    <w:p w14:paraId="008D734F" w14:textId="77777777" w:rsidR="005A6DBB" w:rsidRDefault="005A6DBB">
      <w:pPr>
        <w:spacing w:before="120" w:after="120"/>
        <w:rPr>
          <w:rFonts w:eastAsia="Calibri" w:cs="Calibri"/>
          <w:szCs w:val="22"/>
        </w:rPr>
        <w:sectPr w:rsidR="005A6DBB">
          <w:headerReference w:type="default" r:id="rId37"/>
          <w:footerReference w:type="default" r:id="rId38"/>
          <w:headerReference w:type="first" r:id="rId39"/>
          <w:footerReference w:type="first" r:id="rId40"/>
          <w:pgSz w:w="16838" w:h="11906" w:orient="landscape"/>
          <w:pgMar w:top="1418" w:right="1418" w:bottom="1276" w:left="1418" w:header="850" w:footer="0" w:gutter="0"/>
          <w:cols w:space="720"/>
          <w:titlePg/>
          <w:docGrid w:linePitch="360"/>
        </w:sectPr>
      </w:pPr>
    </w:p>
    <w:p w14:paraId="4D8D4616" w14:textId="77777777" w:rsidR="005A6DBB" w:rsidRDefault="00F93099">
      <w:pPr>
        <w:spacing w:before="120" w:after="120"/>
        <w:rPr>
          <w:rFonts w:eastAsia="Calibri" w:cs="Calibri"/>
          <w:b/>
          <w:bCs/>
          <w:szCs w:val="22"/>
        </w:rPr>
      </w:pPr>
      <w:r>
        <w:rPr>
          <w:rFonts w:eastAsia="Calibri" w:cs="Calibri"/>
          <w:b/>
          <w:bCs/>
          <w:szCs w:val="22"/>
        </w:rPr>
        <w:t>The financial management status quo assessment was undertaken using the following main criteria:</w:t>
      </w:r>
    </w:p>
    <w:p w14:paraId="3FC6902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Funded Budget and Budget Spending Limits;</w:t>
      </w:r>
    </w:p>
    <w:p w14:paraId="3F9555D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Budget Related Policies;</w:t>
      </w:r>
    </w:p>
    <w:p w14:paraId="5F0B67AE"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Revenue Management;</w:t>
      </w:r>
    </w:p>
    <w:p w14:paraId="5395761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Customer Care and Data Accuracy;</w:t>
      </w:r>
    </w:p>
    <w:p w14:paraId="27E0688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Cost Reflective Tariffs;</w:t>
      </w:r>
    </w:p>
    <w:p w14:paraId="6717263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Indigent Management;</w:t>
      </w:r>
    </w:p>
    <w:p w14:paraId="7E22BD2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Supply Chain Management, Compliance and Value for Money;</w:t>
      </w:r>
    </w:p>
    <w:p w14:paraId="15BFC74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Cost Containment and Cash Flow Management;</w:t>
      </w:r>
    </w:p>
    <w:p w14:paraId="794CD28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Debt Restructuring; and</w:t>
      </w:r>
    </w:p>
    <w:p w14:paraId="13352F7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Financial Control Environment.</w:t>
      </w:r>
    </w:p>
    <w:p w14:paraId="7A6A47C9" w14:textId="77777777" w:rsidR="005A6DBB" w:rsidRDefault="00F93099">
      <w:pPr>
        <w:spacing w:before="120" w:after="120"/>
        <w:rPr>
          <w:rFonts w:eastAsia="Calibri" w:cs="Calibri"/>
          <w:b/>
          <w:bCs/>
          <w:i/>
          <w:iCs/>
          <w:szCs w:val="22"/>
        </w:rPr>
      </w:pPr>
      <w:r>
        <w:rPr>
          <w:rFonts w:eastAsia="Calibri" w:cs="Calibri"/>
          <w:b/>
          <w:bCs/>
          <w:i/>
          <w:iCs/>
          <w:szCs w:val="22"/>
        </w:rPr>
        <w:t>Each criterion will be dealt with separately as stipulated below:</w:t>
      </w:r>
    </w:p>
    <w:p w14:paraId="5A50D145"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36" w:name="_Toc137732216"/>
      <w:r>
        <w:rPr>
          <w:rFonts w:cs="Arial"/>
          <w:b/>
          <w:szCs w:val="26"/>
        </w:rPr>
        <w:t>FUNDED BUDGET AND BUDGET SPENDING LIMITS</w:t>
      </w:r>
      <w:bookmarkEnd w:id="36"/>
      <w:r>
        <w:rPr>
          <w:rFonts w:cs="Arial"/>
          <w:b/>
          <w:szCs w:val="26"/>
        </w:rPr>
        <w:t xml:space="preserve"> </w:t>
      </w:r>
    </w:p>
    <w:p w14:paraId="69792998" w14:textId="77777777" w:rsidR="005A6DBB" w:rsidRDefault="00F93099">
      <w:pPr>
        <w:spacing w:before="120" w:after="120"/>
        <w:rPr>
          <w:rFonts w:eastAsia="Calibri" w:cs="Calibri"/>
          <w:szCs w:val="22"/>
        </w:rPr>
      </w:pPr>
      <w:r>
        <w:rPr>
          <w:rFonts w:eastAsia="Calibri" w:cs="Calibri"/>
          <w:szCs w:val="22"/>
        </w:rPr>
        <w:t>The main areas of concerns are:</w:t>
      </w:r>
    </w:p>
    <w:p w14:paraId="683D8AC7" w14:textId="77777777" w:rsidR="005A6DBB" w:rsidRDefault="00F93099">
      <w:pPr>
        <w:spacing w:before="120" w:after="120"/>
        <w:rPr>
          <w:rFonts w:eastAsia="Calibri" w:cs="Calibri"/>
          <w:b/>
          <w:bCs/>
          <w:i/>
          <w:iCs/>
          <w:szCs w:val="22"/>
        </w:rPr>
      </w:pPr>
      <w:r>
        <w:rPr>
          <w:rFonts w:eastAsia="Calibri" w:cs="Calibri"/>
          <w:b/>
          <w:bCs/>
          <w:i/>
          <w:iCs/>
          <w:szCs w:val="22"/>
        </w:rPr>
        <w:t xml:space="preserve">Operating Budgets are not Credible and Cash Backed: </w:t>
      </w:r>
    </w:p>
    <w:p w14:paraId="1C01D6FA" w14:textId="77777777" w:rsidR="005A6DBB" w:rsidRDefault="00F93099">
      <w:pPr>
        <w:spacing w:before="120" w:after="120"/>
        <w:rPr>
          <w:rFonts w:eastAsia="Calibri" w:cs="Calibri"/>
          <w:szCs w:val="22"/>
        </w:rPr>
      </w:pPr>
      <w:r>
        <w:rPr>
          <w:rFonts w:eastAsia="Calibri" w:cs="Calibri"/>
          <w:szCs w:val="22"/>
        </w:rPr>
        <w:t xml:space="preserve">During the 2020/21 and 2021/22 financial years, MMM budgeted surpluses of R 1,035 billion (2020/21) and R 622,7 million (2021/22).  The financial results for the two years reflected deficits of R 20,2 million (2020/21) and a deficit of R 872,7 million (2021/22) which clearly indicate that the budgets were not funded.  </w:t>
      </w:r>
    </w:p>
    <w:p w14:paraId="0DA0F0C4" w14:textId="77777777" w:rsidR="005A6DBB" w:rsidRDefault="00F93099">
      <w:pPr>
        <w:spacing w:before="120" w:after="120"/>
        <w:rPr>
          <w:rFonts w:eastAsia="Calibri" w:cs="Calibri"/>
          <w:szCs w:val="22"/>
        </w:rPr>
      </w:pPr>
      <w:r>
        <w:rPr>
          <w:rFonts w:eastAsia="Calibri" w:cs="Calibri"/>
          <w:szCs w:val="22"/>
        </w:rPr>
        <w:t xml:space="preserve">Poor budgeting techniques and insufficient provision for the impairment of bad debt are the main contributors.  In 2021/22 in respect of impairment of bad debts R933.4 million was budgeted and R1.8 billion had to be provided for. </w:t>
      </w:r>
    </w:p>
    <w:p w14:paraId="72414EAA" w14:textId="77777777" w:rsidR="005A6DBB" w:rsidRDefault="00F93099">
      <w:pPr>
        <w:spacing w:before="120" w:after="120"/>
        <w:rPr>
          <w:rFonts w:eastAsia="Calibri" w:cs="Calibri"/>
          <w:szCs w:val="22"/>
        </w:rPr>
      </w:pPr>
      <w:r>
        <w:rPr>
          <w:rFonts w:eastAsia="Calibri" w:cs="Calibri"/>
          <w:szCs w:val="22"/>
        </w:rPr>
        <w:t xml:space="preserve">Per the table below MMM had audited deficits for the past three financial years, and budget for surpluses for the MTREF period, which are not cash backed. </w:t>
      </w:r>
    </w:p>
    <w:p w14:paraId="4E73CA31" w14:textId="77777777" w:rsidR="005A6DBB" w:rsidRDefault="00F93099">
      <w:pPr>
        <w:keepNext/>
        <w:spacing w:before="120" w:after="120"/>
      </w:pPr>
      <w:r>
        <w:rPr>
          <w:noProof/>
          <w:lang w:val="en-ZA" w:eastAsia="en-ZA"/>
        </w:rPr>
        <w:drawing>
          <wp:inline distT="0" distB="0" distL="0" distR="0" wp14:anchorId="3EDF0031" wp14:editId="0C172D13">
            <wp:extent cx="5798820" cy="2491740"/>
            <wp:effectExtent l="0" t="0" r="1143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208C26" w14:textId="5167D5E8" w:rsidR="005A6DBB" w:rsidRDefault="00F93099">
      <w:pPr>
        <w:pStyle w:val="Caption"/>
        <w:rPr>
          <w:rFonts w:eastAsia="Calibri" w:cs="Calibri"/>
          <w:szCs w:val="22"/>
        </w:rPr>
      </w:pPr>
      <w:r>
        <w:t xml:space="preserve">Table </w:t>
      </w:r>
      <w:r>
        <w:fldChar w:fldCharType="begin"/>
      </w:r>
      <w:r>
        <w:instrText xml:space="preserve"> SEQ Table \* ARABIC </w:instrText>
      </w:r>
      <w:r>
        <w:fldChar w:fldCharType="separate"/>
      </w:r>
      <w:r w:rsidR="00A564BE">
        <w:rPr>
          <w:noProof/>
        </w:rPr>
        <w:t>4</w:t>
      </w:r>
      <w:r>
        <w:fldChar w:fldCharType="end"/>
      </w:r>
      <w:r>
        <w:t xml:space="preserve"> - Income vs Expenditure</w:t>
      </w:r>
    </w:p>
    <w:p w14:paraId="3AAD592F" w14:textId="77777777" w:rsidR="005A6DBB" w:rsidRDefault="00F93099">
      <w:pPr>
        <w:spacing w:before="120" w:after="120"/>
        <w:rPr>
          <w:rFonts w:eastAsia="Calibri" w:cs="Calibri"/>
          <w:szCs w:val="22"/>
        </w:rPr>
      </w:pPr>
      <w:r>
        <w:rPr>
          <w:rFonts w:eastAsia="Calibri" w:cs="Calibri"/>
          <w:szCs w:val="22"/>
        </w:rPr>
        <w:t xml:space="preserve">The proposed strategy going forward is to compile credible and cash backed expenditure and revenue budgets.  </w:t>
      </w:r>
    </w:p>
    <w:p w14:paraId="27432F93" w14:textId="77777777" w:rsidR="005A6DBB" w:rsidRDefault="00F93099">
      <w:pPr>
        <w:keepNext/>
        <w:spacing w:before="120" w:after="120"/>
      </w:pPr>
      <w:r>
        <w:rPr>
          <w:noProof/>
          <w:lang w:val="en-ZA" w:eastAsia="en-ZA"/>
        </w:rPr>
        <w:drawing>
          <wp:inline distT="0" distB="0" distL="0" distR="0" wp14:anchorId="7028DA23" wp14:editId="6A455F4F">
            <wp:extent cx="5849620" cy="3078480"/>
            <wp:effectExtent l="0" t="0" r="17780" b="7620"/>
            <wp:docPr id="18580046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84E987" w14:textId="3C15D6F3" w:rsidR="005A6DBB" w:rsidRDefault="00F93099">
      <w:pPr>
        <w:pStyle w:val="Caption"/>
        <w:rPr>
          <w:rFonts w:eastAsia="Calibri" w:cs="Calibri"/>
          <w:szCs w:val="22"/>
        </w:rPr>
      </w:pPr>
      <w:r>
        <w:t xml:space="preserve">Figure </w:t>
      </w:r>
      <w:r>
        <w:fldChar w:fldCharType="begin"/>
      </w:r>
      <w:r>
        <w:instrText xml:space="preserve"> SEQ Figure \* ARABIC </w:instrText>
      </w:r>
      <w:r>
        <w:fldChar w:fldCharType="separate"/>
      </w:r>
      <w:r w:rsidR="00A564BE">
        <w:rPr>
          <w:noProof/>
        </w:rPr>
        <w:t>6</w:t>
      </w:r>
      <w:r>
        <w:fldChar w:fldCharType="end"/>
      </w:r>
      <w:r>
        <w:t xml:space="preserve"> - Analysis of Operating Surplus / (Deficit) by Service</w:t>
      </w:r>
    </w:p>
    <w:p w14:paraId="20FFB2B1" w14:textId="77777777" w:rsidR="005A6DBB" w:rsidRDefault="00F93099">
      <w:pPr>
        <w:spacing w:before="120" w:after="120"/>
        <w:rPr>
          <w:rFonts w:eastAsia="Calibri" w:cs="Calibri"/>
          <w:szCs w:val="22"/>
        </w:rPr>
      </w:pPr>
      <w:r>
        <w:rPr>
          <w:rFonts w:eastAsia="Calibri" w:cs="Calibri"/>
          <w:szCs w:val="22"/>
        </w:rPr>
        <w:t xml:space="preserve">The analysis of the operating surplus / (deficit) by service illustrated in the figure above indicates that there is a disconnect between the budget and the historical audited results.  </w:t>
      </w:r>
    </w:p>
    <w:p w14:paraId="0C76F131" w14:textId="77777777" w:rsidR="005A6DBB" w:rsidRDefault="00F93099">
      <w:pPr>
        <w:spacing w:before="120" w:after="120"/>
        <w:rPr>
          <w:rFonts w:eastAsia="Calibri" w:cs="Calibri"/>
          <w:szCs w:val="22"/>
        </w:rPr>
      </w:pPr>
      <w:r>
        <w:rPr>
          <w:rFonts w:eastAsia="Calibri" w:cs="Calibri"/>
          <w:szCs w:val="22"/>
        </w:rPr>
        <w:t>MMM experienced significant losses since 2018/19 in the non-trading side of the business (General) and were unable to offset these losses against the barely profitable trading services.  These losses have been significantly reduced in the MTREF period 2023 – 2025.  With further analysis it was identified that the reason for the improvement in the budget is not with unrealistic increases in operating revenue (2022/23: 5%; 2023/24: 8%; and 2024/25: 6%) but rather a 15% reduction in operating expenditure for 2022/23 and 5% and 4% increases in 2023/24 and 2024/25 respectively.  Whether this is achievable is questionable based on historical trends.</w:t>
      </w:r>
    </w:p>
    <w:p w14:paraId="4A0FA3D1" w14:textId="77777777" w:rsidR="005A6DBB" w:rsidRDefault="00F93099">
      <w:pPr>
        <w:spacing w:before="120" w:after="120"/>
        <w:rPr>
          <w:rFonts w:eastAsia="Calibri" w:cs="Calibri"/>
          <w:szCs w:val="22"/>
        </w:rPr>
      </w:pPr>
      <w:r>
        <w:rPr>
          <w:rFonts w:eastAsia="Calibri" w:cs="Calibri"/>
          <w:szCs w:val="22"/>
        </w:rPr>
        <w:t>In addition, a line-item analysis of the expenditure budget should be undertaken and cost reflective tariffs should be set for the revenue budget.</w:t>
      </w:r>
    </w:p>
    <w:p w14:paraId="550C598C" w14:textId="77777777" w:rsidR="005A6DBB" w:rsidRDefault="00F93099">
      <w:pPr>
        <w:spacing w:before="120" w:after="120"/>
        <w:rPr>
          <w:rFonts w:eastAsia="Calibri" w:cs="Calibri"/>
          <w:b/>
          <w:bCs/>
          <w:i/>
          <w:iCs/>
          <w:szCs w:val="22"/>
        </w:rPr>
      </w:pPr>
      <w:r>
        <w:rPr>
          <w:rFonts w:eastAsia="Calibri" w:cs="Calibri"/>
          <w:b/>
          <w:bCs/>
          <w:i/>
          <w:iCs/>
          <w:szCs w:val="22"/>
        </w:rPr>
        <w:t xml:space="preserve">Capital Budget not Adequate and Full Budget Not Spent: </w:t>
      </w:r>
    </w:p>
    <w:p w14:paraId="55D43AC8" w14:textId="77777777" w:rsidR="005A6DBB" w:rsidRDefault="00F93099">
      <w:pPr>
        <w:spacing w:before="120" w:after="120"/>
        <w:rPr>
          <w:rFonts w:eastAsia="Calibri" w:cs="Calibri"/>
          <w:szCs w:val="22"/>
        </w:rPr>
      </w:pPr>
      <w:r>
        <w:rPr>
          <w:rFonts w:eastAsia="Calibri" w:cs="Calibri"/>
          <w:szCs w:val="22"/>
        </w:rPr>
        <w:t xml:space="preserve">The capital budgets for 2020/21 and 2021/22 were only 80.6% and 46.23% spent respectively.  This is because of poor cash flow and planning, as well as issues resulting from their poor supply chain management processes.  As at 30 June 2022 cash on hand was R728.3 million with liabilities for payables and unspent conditional grants of R2.6 billion. </w:t>
      </w:r>
    </w:p>
    <w:p w14:paraId="49DFEC36" w14:textId="77777777" w:rsidR="005A6DBB" w:rsidRDefault="00F93099">
      <w:pPr>
        <w:spacing w:before="120" w:after="120"/>
        <w:rPr>
          <w:rFonts w:eastAsia="Calibri" w:cs="Calibri"/>
          <w:szCs w:val="22"/>
        </w:rPr>
      </w:pPr>
      <w:r>
        <w:rPr>
          <w:rFonts w:eastAsia="Calibri" w:cs="Calibri"/>
          <w:szCs w:val="22"/>
        </w:rPr>
        <w:t>As per the table below, it can be seen that there was an underspend of capital budget for each category of service lines except for Roads Infrastructure, which validates the point of poor cashflow and non-credible budgeting techniques:</w:t>
      </w:r>
    </w:p>
    <w:p w14:paraId="2E75C07D" w14:textId="77777777" w:rsidR="005A6DBB" w:rsidRDefault="00F93099">
      <w:pPr>
        <w:keepNext/>
        <w:spacing w:before="120" w:after="120"/>
      </w:pPr>
      <w:r>
        <w:rPr>
          <w:noProof/>
          <w:bdr w:val="single" w:sz="8" w:space="0" w:color="auto"/>
          <w:lang w:val="en-ZA" w:eastAsia="en-ZA"/>
        </w:rPr>
        <w:drawing>
          <wp:inline distT="0" distB="0" distL="0" distR="0" wp14:anchorId="02663770" wp14:editId="26698015">
            <wp:extent cx="5684520" cy="3238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3"/>
                    <a:stretch>
                      <a:fillRect/>
                    </a:stretch>
                  </pic:blipFill>
                  <pic:spPr>
                    <a:xfrm>
                      <a:off x="0" y="0"/>
                      <a:ext cx="5684520" cy="3238500"/>
                    </a:xfrm>
                    <a:prstGeom prst="rect">
                      <a:avLst/>
                    </a:prstGeom>
                  </pic:spPr>
                </pic:pic>
              </a:graphicData>
            </a:graphic>
          </wp:inline>
        </w:drawing>
      </w:r>
    </w:p>
    <w:p w14:paraId="76665253" w14:textId="202910E1" w:rsidR="005A6DBB" w:rsidRDefault="00F93099">
      <w:pPr>
        <w:pStyle w:val="Caption"/>
      </w:pPr>
      <w:r>
        <w:t xml:space="preserve">Table </w:t>
      </w:r>
      <w:r>
        <w:fldChar w:fldCharType="begin"/>
      </w:r>
      <w:r>
        <w:instrText xml:space="preserve"> SEQ Table \* ARABIC </w:instrText>
      </w:r>
      <w:r>
        <w:fldChar w:fldCharType="separate"/>
      </w:r>
      <w:r w:rsidR="00A564BE">
        <w:rPr>
          <w:noProof/>
        </w:rPr>
        <w:t>5</w:t>
      </w:r>
      <w:r>
        <w:fldChar w:fldCharType="end"/>
      </w:r>
      <w:r>
        <w:t xml:space="preserve"> - Capital Budget vs Actual Spent</w:t>
      </w:r>
    </w:p>
    <w:p w14:paraId="4E712EF7" w14:textId="77777777" w:rsidR="005A6DBB" w:rsidRDefault="00F93099">
      <w:pPr>
        <w:keepNext/>
        <w:spacing w:before="120" w:after="120"/>
      </w:pPr>
      <w:r>
        <w:rPr>
          <w:noProof/>
          <w:lang w:val="en-ZA" w:eastAsia="en-ZA"/>
        </w:rPr>
        <w:drawing>
          <wp:inline distT="0" distB="0" distL="0" distR="0" wp14:anchorId="3863688B" wp14:editId="58AE6ED7">
            <wp:extent cx="5810250" cy="2743200"/>
            <wp:effectExtent l="0" t="0" r="0" b="0"/>
            <wp:docPr id="10622958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239A76" w14:textId="4F075204" w:rsidR="005A6DBB" w:rsidRDefault="00F93099">
      <w:pPr>
        <w:pStyle w:val="Caption"/>
      </w:pPr>
      <w:r>
        <w:t xml:space="preserve">Table </w:t>
      </w:r>
      <w:r>
        <w:fldChar w:fldCharType="begin"/>
      </w:r>
      <w:r>
        <w:instrText xml:space="preserve"> SEQ Table \* ARABIC </w:instrText>
      </w:r>
      <w:r>
        <w:fldChar w:fldCharType="separate"/>
      </w:r>
      <w:r w:rsidR="00A564BE">
        <w:rPr>
          <w:noProof/>
        </w:rPr>
        <w:t>6</w:t>
      </w:r>
      <w:r>
        <w:fldChar w:fldCharType="end"/>
      </w:r>
      <w:r>
        <w:t xml:space="preserve"> -Capital Expenditure Funding Mix</w:t>
      </w:r>
    </w:p>
    <w:p w14:paraId="5BE98DD0" w14:textId="77777777" w:rsidR="005A6DBB" w:rsidRDefault="00F93099">
      <w:pPr>
        <w:rPr>
          <w:rFonts w:eastAsia="Calibri"/>
        </w:rPr>
      </w:pPr>
      <w:r>
        <w:rPr>
          <w:rFonts w:eastAsia="Calibri"/>
        </w:rPr>
        <w:t xml:space="preserve">A high reliance was placed on grant funding to fund capital expenditure during the 2020/21 and 2021/2022 financial years.  Compared to the budget MMM is relying on own sources (internally generated funds and loans) to fund planned capital expenditure.  This is not realistic due to the current solvency and cash flow constraints.  Capital expenditure should therefore be reprioritised within its spending capacity and cashflows. </w:t>
      </w:r>
    </w:p>
    <w:p w14:paraId="29F24273" w14:textId="77777777" w:rsidR="005A6DBB" w:rsidRDefault="00F93099">
      <w:pPr>
        <w:spacing w:before="120" w:after="120"/>
        <w:rPr>
          <w:rFonts w:eastAsia="Calibri" w:cs="Calibri"/>
          <w:szCs w:val="22"/>
        </w:rPr>
      </w:pPr>
      <w:r>
        <w:rPr>
          <w:rFonts w:eastAsia="Calibri" w:cs="Calibri"/>
          <w:szCs w:val="22"/>
        </w:rPr>
        <w:t>The proposed strategy is to compile credible and cash backed capital budgets linked to the IDP’s capital project priorities and compiling and budgeting for a payment plan to pay the outstanding payables and unspent conditional grants.  MMM also needs to plan on how new grant funding will be fully spent as part of their capital budget planning process, aligned to the IDP, else these funds are to be returned to National Treasury.</w:t>
      </w:r>
    </w:p>
    <w:p w14:paraId="4DEC001B"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37" w:name="_Toc137732217"/>
      <w:r>
        <w:rPr>
          <w:rFonts w:eastAsia="Calibri" w:cs="Arial"/>
          <w:b/>
          <w:szCs w:val="26"/>
        </w:rPr>
        <w:t>BUDGET RELATED POLICIES</w:t>
      </w:r>
      <w:bookmarkEnd w:id="37"/>
    </w:p>
    <w:p w14:paraId="71CCECD7" w14:textId="77777777" w:rsidR="005A6DBB" w:rsidRDefault="00F93099">
      <w:pPr>
        <w:spacing w:before="120" w:after="120"/>
        <w:rPr>
          <w:rFonts w:eastAsia="Calibri" w:cs="Calibri"/>
          <w:szCs w:val="22"/>
        </w:rPr>
      </w:pPr>
      <w:r>
        <w:rPr>
          <w:rFonts w:eastAsia="Calibri" w:cs="Calibri"/>
          <w:szCs w:val="22"/>
        </w:rPr>
        <w:t>The main area of concern is:</w:t>
      </w:r>
    </w:p>
    <w:p w14:paraId="5DA6D68F" w14:textId="77777777" w:rsidR="005A6DBB" w:rsidRDefault="00F93099">
      <w:pPr>
        <w:spacing w:before="120" w:after="120"/>
        <w:rPr>
          <w:rFonts w:eastAsia="Calibri" w:cs="Calibri"/>
          <w:b/>
          <w:bCs/>
          <w:i/>
          <w:iCs/>
          <w:szCs w:val="22"/>
        </w:rPr>
      </w:pPr>
      <w:r>
        <w:rPr>
          <w:rFonts w:eastAsia="Calibri" w:cs="Calibri"/>
          <w:b/>
          <w:bCs/>
          <w:i/>
          <w:iCs/>
          <w:szCs w:val="22"/>
        </w:rPr>
        <w:t xml:space="preserve">All budget policies were not supplied by MMM. </w:t>
      </w:r>
    </w:p>
    <w:p w14:paraId="64821FDD" w14:textId="77777777" w:rsidR="005A6DBB" w:rsidRDefault="00F93099">
      <w:pPr>
        <w:spacing w:before="120" w:after="120"/>
        <w:rPr>
          <w:rFonts w:eastAsia="Calibri" w:cs="Calibri"/>
          <w:szCs w:val="22"/>
        </w:rPr>
      </w:pPr>
      <w:r>
        <w:rPr>
          <w:rFonts w:eastAsia="Calibri" w:cs="Calibri"/>
          <w:szCs w:val="22"/>
        </w:rPr>
        <w:t>The only budget policies provided by MMM were:</w:t>
      </w:r>
    </w:p>
    <w:p w14:paraId="6F0D3B0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Tariff Policy for 2021/22;</w:t>
      </w:r>
    </w:p>
    <w:p w14:paraId="699F2C6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Indigent Policy for 2022/23; and</w:t>
      </w:r>
    </w:p>
    <w:p w14:paraId="1A782F3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Property Rates Policy for 2022/23 but only in draft form.</w:t>
      </w:r>
    </w:p>
    <w:p w14:paraId="0FB6F2E5" w14:textId="77777777" w:rsidR="005A6DBB" w:rsidRDefault="00F93099">
      <w:pPr>
        <w:spacing w:before="120" w:after="120"/>
        <w:rPr>
          <w:rFonts w:eastAsia="Calibri" w:cs="Calibri"/>
          <w:szCs w:val="22"/>
        </w:rPr>
      </w:pPr>
      <w:r>
        <w:rPr>
          <w:rFonts w:eastAsia="Calibri" w:cs="Calibri"/>
          <w:szCs w:val="22"/>
        </w:rPr>
        <w:t>No other budget policies were provided.  Even though budget policies are reviewed, it just for compliance issue and no full analysis are being done. Generic policies not relevant to Mangaung are being used for compliance purposes.</w:t>
      </w:r>
    </w:p>
    <w:p w14:paraId="78910657" w14:textId="77777777" w:rsidR="005A6DBB" w:rsidRDefault="00F93099">
      <w:pPr>
        <w:spacing w:before="120" w:after="120"/>
        <w:rPr>
          <w:rFonts w:eastAsia="Calibri" w:cs="Calibri"/>
          <w:szCs w:val="22"/>
        </w:rPr>
      </w:pPr>
      <w:r>
        <w:rPr>
          <w:rFonts w:eastAsia="Calibri" w:cs="Calibri"/>
          <w:szCs w:val="22"/>
        </w:rPr>
        <w:t>All Budget Policies need to be reviewed annually and aligned to the policies and priorities applicable and set by MMM.</w:t>
      </w:r>
    </w:p>
    <w:p w14:paraId="6EAD3EEC" w14:textId="77777777" w:rsidR="005A6DBB" w:rsidRDefault="00F93099">
      <w:pPr>
        <w:spacing w:before="120" w:after="120"/>
        <w:rPr>
          <w:rFonts w:eastAsia="Calibri" w:cs="Calibri"/>
          <w:szCs w:val="22"/>
        </w:rPr>
      </w:pPr>
      <w:r>
        <w:rPr>
          <w:rFonts w:eastAsia="Calibri" w:cs="Calibri"/>
          <w:szCs w:val="22"/>
        </w:rPr>
        <w:t>The policies need to be reviewed, aligned and workshopped with Council and Management.  Once adopted by Council the policies need to be implemented and strictly applied.</w:t>
      </w:r>
    </w:p>
    <w:p w14:paraId="0753E5BD"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38" w:name="_Toc137732218"/>
      <w:r>
        <w:rPr>
          <w:rFonts w:eastAsia="Calibri" w:cs="Arial"/>
          <w:b/>
          <w:szCs w:val="26"/>
        </w:rPr>
        <w:t>REVENUE MANAGEMENT</w:t>
      </w:r>
      <w:bookmarkEnd w:id="38"/>
    </w:p>
    <w:p w14:paraId="38A13CD5" w14:textId="77777777" w:rsidR="005A6DBB" w:rsidRDefault="00F93099">
      <w:pPr>
        <w:spacing w:before="120" w:after="120"/>
        <w:rPr>
          <w:rFonts w:eastAsia="Calibri" w:cs="Calibri"/>
          <w:szCs w:val="22"/>
        </w:rPr>
      </w:pPr>
      <w:r>
        <w:rPr>
          <w:rFonts w:eastAsia="Calibri" w:cs="Calibri"/>
          <w:szCs w:val="22"/>
        </w:rPr>
        <w:t>The total outstanding gross consumer receivables from exchange transactions was R 6,690,341,584 with the total allowance for impairment at R 5,309,741,295 as at 30 June 2022 which is 79% of outstanding debt.</w:t>
      </w:r>
    </w:p>
    <w:p w14:paraId="1CA7818F" w14:textId="77777777" w:rsidR="005A6DBB" w:rsidRDefault="00F93099">
      <w:pPr>
        <w:spacing w:before="120" w:after="120"/>
        <w:rPr>
          <w:rFonts w:eastAsia="Calibri" w:cs="Calibri"/>
          <w:szCs w:val="22"/>
        </w:rPr>
      </w:pPr>
      <w:r>
        <w:rPr>
          <w:rFonts w:eastAsia="Calibri" w:cs="Calibri"/>
          <w:szCs w:val="22"/>
        </w:rPr>
        <w:t>It is categorised as follows:</w:t>
      </w:r>
    </w:p>
    <w:tbl>
      <w:tblPr>
        <w:tblW w:w="92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526"/>
        <w:gridCol w:w="1566"/>
        <w:gridCol w:w="1560"/>
        <w:gridCol w:w="1558"/>
      </w:tblGrid>
      <w:tr w:rsidR="005A6DBB" w14:paraId="229E2032" w14:textId="77777777">
        <w:trPr>
          <w:trHeight w:val="570"/>
          <w:tblHeader/>
        </w:trPr>
        <w:tc>
          <w:tcPr>
            <w:tcW w:w="4526" w:type="dxa"/>
            <w:shd w:val="clear" w:color="auto" w:fill="002060"/>
            <w:tcMar>
              <w:left w:w="10" w:type="dxa"/>
              <w:right w:w="10" w:type="dxa"/>
            </w:tcMar>
            <w:vAlign w:val="center"/>
          </w:tcPr>
          <w:p w14:paraId="61221E0B"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Ratio</w:t>
            </w:r>
          </w:p>
        </w:tc>
        <w:tc>
          <w:tcPr>
            <w:tcW w:w="1566" w:type="dxa"/>
            <w:shd w:val="clear" w:color="auto" w:fill="002060"/>
            <w:tcMar>
              <w:left w:w="10" w:type="dxa"/>
              <w:right w:w="10" w:type="dxa"/>
            </w:tcMar>
            <w:vAlign w:val="center"/>
          </w:tcPr>
          <w:p w14:paraId="74E776B1"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2020/21</w:t>
            </w:r>
          </w:p>
        </w:tc>
        <w:tc>
          <w:tcPr>
            <w:tcW w:w="1560" w:type="dxa"/>
            <w:shd w:val="clear" w:color="auto" w:fill="002060"/>
            <w:tcMar>
              <w:left w:w="10" w:type="dxa"/>
              <w:right w:w="10" w:type="dxa"/>
            </w:tcMar>
            <w:vAlign w:val="center"/>
          </w:tcPr>
          <w:p w14:paraId="6EC15750"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2021/22</w:t>
            </w:r>
          </w:p>
        </w:tc>
        <w:tc>
          <w:tcPr>
            <w:tcW w:w="1558" w:type="dxa"/>
            <w:shd w:val="clear" w:color="auto" w:fill="002060"/>
            <w:tcMar>
              <w:left w:w="10" w:type="dxa"/>
              <w:right w:w="10" w:type="dxa"/>
            </w:tcMar>
            <w:vAlign w:val="center"/>
          </w:tcPr>
          <w:p w14:paraId="0A3F9160"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 xml:space="preserve">2021/22 </w:t>
            </w:r>
          </w:p>
          <w:p w14:paraId="43B8C659"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 of Total</w:t>
            </w:r>
          </w:p>
        </w:tc>
      </w:tr>
      <w:tr w:rsidR="005A6DBB" w14:paraId="58974236" w14:textId="77777777">
        <w:trPr>
          <w:trHeight w:val="570"/>
        </w:trPr>
        <w:tc>
          <w:tcPr>
            <w:tcW w:w="4526" w:type="dxa"/>
            <w:shd w:val="clear" w:color="auto" w:fill="D4E1ED"/>
            <w:tcMar>
              <w:left w:w="10" w:type="dxa"/>
              <w:right w:w="10" w:type="dxa"/>
            </w:tcMar>
          </w:tcPr>
          <w:p w14:paraId="2745EC2B" w14:textId="77777777" w:rsidR="005A6DBB" w:rsidRDefault="00F93099">
            <w:pPr>
              <w:spacing w:before="120" w:after="120"/>
              <w:rPr>
                <w:rFonts w:eastAsia="Calibri" w:cs="Calibri"/>
                <w:color w:val="000000" w:themeColor="text1"/>
                <w:sz w:val="18"/>
                <w:szCs w:val="18"/>
              </w:rPr>
            </w:pPr>
            <w:r>
              <w:rPr>
                <w:rFonts w:eastAsia="Calibri" w:cs="Calibri"/>
                <w:color w:val="000000" w:themeColor="text1"/>
                <w:sz w:val="18"/>
                <w:szCs w:val="18"/>
              </w:rPr>
              <w:t>Residential and Sundry</w:t>
            </w:r>
          </w:p>
        </w:tc>
        <w:tc>
          <w:tcPr>
            <w:tcW w:w="1566" w:type="dxa"/>
            <w:shd w:val="clear" w:color="auto" w:fill="D4E1ED"/>
            <w:tcMar>
              <w:left w:w="10" w:type="dxa"/>
              <w:right w:w="10" w:type="dxa"/>
            </w:tcMar>
          </w:tcPr>
          <w:p w14:paraId="4081E478"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3,717,818,445</w:t>
            </w:r>
          </w:p>
        </w:tc>
        <w:tc>
          <w:tcPr>
            <w:tcW w:w="1560" w:type="dxa"/>
            <w:shd w:val="clear" w:color="auto" w:fill="D4E1ED"/>
            <w:tcMar>
              <w:left w:w="10" w:type="dxa"/>
              <w:right w:w="10" w:type="dxa"/>
            </w:tcMar>
          </w:tcPr>
          <w:p w14:paraId="5226A7EF"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4,444,074,799</w:t>
            </w:r>
          </w:p>
        </w:tc>
        <w:tc>
          <w:tcPr>
            <w:tcW w:w="1558" w:type="dxa"/>
            <w:shd w:val="clear" w:color="auto" w:fill="D4E1ED"/>
            <w:tcMar>
              <w:left w:w="10" w:type="dxa"/>
              <w:right w:w="10" w:type="dxa"/>
            </w:tcMar>
          </w:tcPr>
          <w:p w14:paraId="30055B95" w14:textId="77777777" w:rsidR="005A6DBB" w:rsidRDefault="00F93099">
            <w:pPr>
              <w:keepNext/>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66%</w:t>
            </w:r>
          </w:p>
        </w:tc>
      </w:tr>
      <w:tr w:rsidR="005A6DBB" w14:paraId="26ABD20D" w14:textId="77777777">
        <w:trPr>
          <w:trHeight w:val="570"/>
        </w:trPr>
        <w:tc>
          <w:tcPr>
            <w:tcW w:w="4526" w:type="dxa"/>
            <w:shd w:val="clear" w:color="auto" w:fill="D4E1ED"/>
            <w:tcMar>
              <w:left w:w="10" w:type="dxa"/>
              <w:right w:w="10" w:type="dxa"/>
            </w:tcMar>
          </w:tcPr>
          <w:p w14:paraId="3DD3FEB7" w14:textId="77777777" w:rsidR="005A6DBB" w:rsidRDefault="00F93099">
            <w:pPr>
              <w:spacing w:before="120" w:after="120"/>
              <w:rPr>
                <w:rFonts w:eastAsia="Calibri" w:cs="Calibri"/>
                <w:color w:val="000000" w:themeColor="text1"/>
                <w:sz w:val="18"/>
                <w:szCs w:val="18"/>
              </w:rPr>
            </w:pPr>
            <w:r>
              <w:rPr>
                <w:rFonts w:eastAsia="Calibri" w:cs="Calibri"/>
                <w:color w:val="000000" w:themeColor="text1"/>
                <w:sz w:val="18"/>
                <w:szCs w:val="18"/>
              </w:rPr>
              <w:t>Business / Commercial</w:t>
            </w:r>
          </w:p>
        </w:tc>
        <w:tc>
          <w:tcPr>
            <w:tcW w:w="1566" w:type="dxa"/>
            <w:shd w:val="clear" w:color="auto" w:fill="D4E1ED"/>
            <w:tcMar>
              <w:left w:w="10" w:type="dxa"/>
              <w:right w:w="10" w:type="dxa"/>
            </w:tcMar>
          </w:tcPr>
          <w:p w14:paraId="08DF77F1"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717,844,790</w:t>
            </w:r>
          </w:p>
        </w:tc>
        <w:tc>
          <w:tcPr>
            <w:tcW w:w="1560" w:type="dxa"/>
            <w:shd w:val="clear" w:color="auto" w:fill="D4E1ED"/>
            <w:tcMar>
              <w:left w:w="10" w:type="dxa"/>
              <w:right w:w="10" w:type="dxa"/>
            </w:tcMar>
          </w:tcPr>
          <w:p w14:paraId="00091AA4"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901,624,988</w:t>
            </w:r>
          </w:p>
        </w:tc>
        <w:tc>
          <w:tcPr>
            <w:tcW w:w="1558" w:type="dxa"/>
            <w:shd w:val="clear" w:color="auto" w:fill="D4E1ED"/>
            <w:tcMar>
              <w:left w:w="10" w:type="dxa"/>
              <w:right w:w="10" w:type="dxa"/>
            </w:tcMar>
          </w:tcPr>
          <w:p w14:paraId="784FC0FE" w14:textId="77777777" w:rsidR="005A6DBB" w:rsidRDefault="00F93099">
            <w:pPr>
              <w:keepNext/>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14%</w:t>
            </w:r>
          </w:p>
        </w:tc>
      </w:tr>
      <w:tr w:rsidR="005A6DBB" w14:paraId="386FD6E2" w14:textId="77777777">
        <w:trPr>
          <w:trHeight w:val="570"/>
        </w:trPr>
        <w:tc>
          <w:tcPr>
            <w:tcW w:w="4526" w:type="dxa"/>
            <w:shd w:val="clear" w:color="auto" w:fill="D4E1ED"/>
            <w:tcMar>
              <w:left w:w="10" w:type="dxa"/>
              <w:right w:w="10" w:type="dxa"/>
            </w:tcMar>
          </w:tcPr>
          <w:p w14:paraId="28A61511" w14:textId="77777777" w:rsidR="005A6DBB" w:rsidRDefault="00F93099">
            <w:pPr>
              <w:spacing w:before="120" w:after="120"/>
              <w:rPr>
                <w:rFonts w:eastAsia="Calibri" w:cs="Calibri"/>
                <w:color w:val="000000" w:themeColor="text1"/>
                <w:sz w:val="18"/>
                <w:szCs w:val="18"/>
              </w:rPr>
            </w:pPr>
            <w:r>
              <w:rPr>
                <w:rFonts w:eastAsia="Calibri" w:cs="Calibri"/>
                <w:color w:val="000000" w:themeColor="text1"/>
                <w:sz w:val="18"/>
                <w:szCs w:val="18"/>
              </w:rPr>
              <w:t>National and Provincial Government</w:t>
            </w:r>
          </w:p>
        </w:tc>
        <w:tc>
          <w:tcPr>
            <w:tcW w:w="1566" w:type="dxa"/>
            <w:shd w:val="clear" w:color="auto" w:fill="D4E1ED"/>
            <w:tcMar>
              <w:left w:w="10" w:type="dxa"/>
              <w:right w:w="10" w:type="dxa"/>
            </w:tcMar>
          </w:tcPr>
          <w:p w14:paraId="0682E693"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1,204,828,190</w:t>
            </w:r>
          </w:p>
        </w:tc>
        <w:tc>
          <w:tcPr>
            <w:tcW w:w="1560" w:type="dxa"/>
            <w:shd w:val="clear" w:color="auto" w:fill="D4E1ED"/>
            <w:tcMar>
              <w:left w:w="10" w:type="dxa"/>
              <w:right w:w="10" w:type="dxa"/>
            </w:tcMar>
          </w:tcPr>
          <w:p w14:paraId="66D44E1F"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R 1,344,641,726</w:t>
            </w:r>
          </w:p>
        </w:tc>
        <w:tc>
          <w:tcPr>
            <w:tcW w:w="1558" w:type="dxa"/>
            <w:shd w:val="clear" w:color="auto" w:fill="D4E1ED"/>
            <w:tcMar>
              <w:left w:w="10" w:type="dxa"/>
              <w:right w:w="10" w:type="dxa"/>
            </w:tcMar>
          </w:tcPr>
          <w:p w14:paraId="79C5E85B" w14:textId="77777777" w:rsidR="005A6DBB" w:rsidRDefault="00F93099">
            <w:pPr>
              <w:keepNext/>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20%</w:t>
            </w:r>
          </w:p>
        </w:tc>
      </w:tr>
      <w:tr w:rsidR="005A6DBB" w14:paraId="524496B8" w14:textId="77777777">
        <w:trPr>
          <w:trHeight w:val="570"/>
        </w:trPr>
        <w:tc>
          <w:tcPr>
            <w:tcW w:w="4526" w:type="dxa"/>
            <w:shd w:val="clear" w:color="auto" w:fill="D4E1ED"/>
            <w:tcMar>
              <w:left w:w="10" w:type="dxa"/>
              <w:right w:w="10" w:type="dxa"/>
            </w:tcMar>
          </w:tcPr>
          <w:p w14:paraId="35935E44" w14:textId="77777777" w:rsidR="005A6DBB" w:rsidRDefault="00F93099">
            <w:pPr>
              <w:spacing w:before="120" w:after="120"/>
              <w:rPr>
                <w:rFonts w:eastAsia="Calibri" w:cs="Calibri"/>
                <w:b/>
                <w:bCs/>
                <w:color w:val="000000" w:themeColor="text1"/>
                <w:sz w:val="18"/>
                <w:szCs w:val="18"/>
              </w:rPr>
            </w:pPr>
            <w:r>
              <w:rPr>
                <w:rFonts w:eastAsia="Calibri" w:cs="Calibri"/>
                <w:b/>
                <w:bCs/>
                <w:color w:val="000000" w:themeColor="text1"/>
                <w:sz w:val="18"/>
                <w:szCs w:val="18"/>
              </w:rPr>
              <w:t>Total</w:t>
            </w:r>
          </w:p>
        </w:tc>
        <w:tc>
          <w:tcPr>
            <w:tcW w:w="1566" w:type="dxa"/>
            <w:shd w:val="clear" w:color="auto" w:fill="D4E1ED"/>
            <w:tcMar>
              <w:left w:w="10" w:type="dxa"/>
              <w:right w:w="10" w:type="dxa"/>
            </w:tcMar>
          </w:tcPr>
          <w:p w14:paraId="71941916" w14:textId="77777777" w:rsidR="005A6DBB" w:rsidRDefault="00F93099">
            <w:pPr>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R 5,640,491,424</w:t>
            </w:r>
          </w:p>
        </w:tc>
        <w:tc>
          <w:tcPr>
            <w:tcW w:w="1560" w:type="dxa"/>
            <w:shd w:val="clear" w:color="auto" w:fill="D4E1ED"/>
            <w:tcMar>
              <w:left w:w="10" w:type="dxa"/>
              <w:right w:w="10" w:type="dxa"/>
            </w:tcMar>
          </w:tcPr>
          <w:p w14:paraId="59935EA5" w14:textId="77777777" w:rsidR="005A6DBB" w:rsidRDefault="00F93099">
            <w:pPr>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R 6,690,341,584</w:t>
            </w:r>
          </w:p>
        </w:tc>
        <w:tc>
          <w:tcPr>
            <w:tcW w:w="1558" w:type="dxa"/>
            <w:shd w:val="clear" w:color="auto" w:fill="D4E1ED"/>
            <w:tcMar>
              <w:left w:w="10" w:type="dxa"/>
              <w:right w:w="10" w:type="dxa"/>
            </w:tcMar>
          </w:tcPr>
          <w:p w14:paraId="05A2D150" w14:textId="77777777" w:rsidR="005A6DBB" w:rsidRDefault="00F93099">
            <w:pPr>
              <w:keepNext/>
              <w:spacing w:before="120" w:after="120"/>
              <w:jc w:val="center"/>
              <w:rPr>
                <w:rFonts w:eastAsia="Calibri" w:cs="Calibri"/>
                <w:b/>
                <w:bCs/>
                <w:color w:val="000000" w:themeColor="text1"/>
                <w:sz w:val="18"/>
                <w:szCs w:val="18"/>
              </w:rPr>
            </w:pPr>
            <w:r>
              <w:rPr>
                <w:rFonts w:eastAsia="Calibri" w:cs="Calibri"/>
                <w:b/>
                <w:bCs/>
                <w:color w:val="000000" w:themeColor="text1"/>
                <w:sz w:val="18"/>
                <w:szCs w:val="18"/>
              </w:rPr>
              <w:t>100%</w:t>
            </w:r>
          </w:p>
        </w:tc>
      </w:tr>
    </w:tbl>
    <w:p w14:paraId="2C56F493" w14:textId="5611094F" w:rsidR="005A6DBB" w:rsidRDefault="00F93099">
      <w:pPr>
        <w:pStyle w:val="Caption"/>
        <w:rPr>
          <w:rFonts w:eastAsia="Calibri" w:cs="Calibri"/>
          <w:szCs w:val="22"/>
        </w:rPr>
      </w:pPr>
      <w:r>
        <w:t xml:space="preserve">Table </w:t>
      </w:r>
      <w:r>
        <w:fldChar w:fldCharType="begin"/>
      </w:r>
      <w:r>
        <w:instrText xml:space="preserve"> SEQ Table \* ARABIC </w:instrText>
      </w:r>
      <w:r>
        <w:fldChar w:fldCharType="separate"/>
      </w:r>
      <w:r w:rsidR="00A564BE">
        <w:rPr>
          <w:noProof/>
        </w:rPr>
        <w:t>7</w:t>
      </w:r>
      <w:r>
        <w:fldChar w:fldCharType="end"/>
      </w:r>
      <w:r>
        <w:t xml:space="preserve"> - Categories of Consumer Receivables</w:t>
      </w:r>
    </w:p>
    <w:p w14:paraId="1EF17C2D" w14:textId="77777777" w:rsidR="005A6DBB" w:rsidRDefault="00F93099">
      <w:pPr>
        <w:spacing w:before="120" w:after="120"/>
        <w:rPr>
          <w:rFonts w:eastAsia="Calibri" w:cs="Calibri"/>
          <w:b/>
          <w:bCs/>
          <w:i/>
          <w:iCs/>
          <w:szCs w:val="22"/>
        </w:rPr>
      </w:pPr>
      <w:r>
        <w:rPr>
          <w:rFonts w:eastAsia="Calibri" w:cs="Calibri"/>
          <w:b/>
          <w:bCs/>
          <w:i/>
          <w:iCs/>
          <w:szCs w:val="22"/>
        </w:rPr>
        <w:t>The annual collection rate for the three financial years under review are in the region of 80%.  The norm is 95%:</w:t>
      </w:r>
    </w:p>
    <w:p w14:paraId="31359CD8" w14:textId="77777777" w:rsidR="005A6DBB" w:rsidRDefault="00F93099">
      <w:pPr>
        <w:spacing w:before="120" w:after="120"/>
        <w:rPr>
          <w:rFonts w:eastAsia="Calibri" w:cs="Calibri"/>
          <w:szCs w:val="22"/>
        </w:rPr>
      </w:pPr>
      <w:r>
        <w:rPr>
          <w:rFonts w:eastAsia="Calibri" w:cs="Calibri"/>
          <w:szCs w:val="22"/>
        </w:rPr>
        <w:t>The ratios for the three financial years applying MFMA Circular No. 71:  Financial Ratios and Norms are as follows:</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528"/>
        <w:gridCol w:w="1564"/>
        <w:gridCol w:w="1560"/>
        <w:gridCol w:w="1558"/>
      </w:tblGrid>
      <w:tr w:rsidR="005A6DBB" w14:paraId="3518E0E0" w14:textId="77777777">
        <w:trPr>
          <w:trHeight w:val="570"/>
          <w:tblHeader/>
        </w:trPr>
        <w:tc>
          <w:tcPr>
            <w:tcW w:w="4528" w:type="dxa"/>
            <w:shd w:val="clear" w:color="auto" w:fill="002060"/>
            <w:tcMar>
              <w:left w:w="10" w:type="dxa"/>
              <w:right w:w="10" w:type="dxa"/>
            </w:tcMar>
            <w:vAlign w:val="center"/>
          </w:tcPr>
          <w:p w14:paraId="70CEE3C8"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Ratio</w:t>
            </w:r>
          </w:p>
        </w:tc>
        <w:tc>
          <w:tcPr>
            <w:tcW w:w="1564" w:type="dxa"/>
            <w:shd w:val="clear" w:color="auto" w:fill="002060"/>
            <w:tcMar>
              <w:left w:w="10" w:type="dxa"/>
              <w:right w:w="10" w:type="dxa"/>
            </w:tcMar>
            <w:vAlign w:val="center"/>
          </w:tcPr>
          <w:p w14:paraId="4C055D47"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Ratio for 2019/20</w:t>
            </w:r>
          </w:p>
          <w:p w14:paraId="04D83CBF"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Restated</w:t>
            </w:r>
          </w:p>
        </w:tc>
        <w:tc>
          <w:tcPr>
            <w:tcW w:w="1560" w:type="dxa"/>
            <w:shd w:val="clear" w:color="auto" w:fill="002060"/>
            <w:tcMar>
              <w:left w:w="10" w:type="dxa"/>
              <w:right w:w="10" w:type="dxa"/>
            </w:tcMar>
            <w:vAlign w:val="center"/>
          </w:tcPr>
          <w:p w14:paraId="769F1797"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Ratio for 2020/21</w:t>
            </w:r>
          </w:p>
          <w:p w14:paraId="50590280"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Restated</w:t>
            </w:r>
          </w:p>
        </w:tc>
        <w:tc>
          <w:tcPr>
            <w:tcW w:w="1558" w:type="dxa"/>
            <w:shd w:val="clear" w:color="auto" w:fill="002060"/>
            <w:tcMar>
              <w:left w:w="10" w:type="dxa"/>
              <w:right w:w="10" w:type="dxa"/>
            </w:tcMar>
            <w:vAlign w:val="center"/>
          </w:tcPr>
          <w:p w14:paraId="01C1D214"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Ratio for 2021/22</w:t>
            </w:r>
          </w:p>
          <w:p w14:paraId="03A4FA1F"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Draft</w:t>
            </w:r>
          </w:p>
          <w:p w14:paraId="6B1C3B39" w14:textId="77777777" w:rsidR="005A6DBB" w:rsidRDefault="00F93099">
            <w:pPr>
              <w:spacing w:line="276" w:lineRule="auto"/>
              <w:jc w:val="center"/>
              <w:rPr>
                <w:rFonts w:eastAsia="Calibri" w:cs="Calibri"/>
                <w:b/>
                <w:bCs/>
                <w:color w:val="FFFFFF" w:themeColor="background1"/>
                <w:sz w:val="18"/>
                <w:szCs w:val="18"/>
              </w:rPr>
            </w:pPr>
            <w:r>
              <w:rPr>
                <w:rFonts w:eastAsia="Calibri" w:cs="Calibri"/>
                <w:b/>
                <w:bCs/>
                <w:color w:val="FFFFFF" w:themeColor="background1"/>
                <w:sz w:val="18"/>
                <w:szCs w:val="18"/>
              </w:rPr>
              <w:t>Unaudited</w:t>
            </w:r>
          </w:p>
        </w:tc>
      </w:tr>
      <w:tr w:rsidR="005A6DBB" w14:paraId="280CE15B" w14:textId="77777777">
        <w:trPr>
          <w:trHeight w:val="570"/>
        </w:trPr>
        <w:tc>
          <w:tcPr>
            <w:tcW w:w="4528" w:type="dxa"/>
            <w:shd w:val="clear" w:color="auto" w:fill="D4E1ED"/>
            <w:tcMar>
              <w:left w:w="10" w:type="dxa"/>
              <w:right w:w="10" w:type="dxa"/>
            </w:tcMar>
          </w:tcPr>
          <w:p w14:paraId="1677C094" w14:textId="77777777" w:rsidR="005A6DBB" w:rsidRDefault="00F93099">
            <w:pPr>
              <w:spacing w:before="120" w:after="120"/>
              <w:rPr>
                <w:rFonts w:eastAsia="Calibri" w:cs="Calibri"/>
                <w:color w:val="000000" w:themeColor="text1"/>
                <w:sz w:val="18"/>
                <w:szCs w:val="18"/>
              </w:rPr>
            </w:pPr>
            <w:r>
              <w:rPr>
                <w:rFonts w:eastAsia="Calibri" w:cs="Calibri"/>
                <w:color w:val="000000" w:themeColor="text1"/>
                <w:sz w:val="18"/>
                <w:szCs w:val="18"/>
              </w:rPr>
              <w:t>Annual Collection Rate - indicates the level of payments as a percentage of revenue billed on credit.</w:t>
            </w:r>
          </w:p>
        </w:tc>
        <w:tc>
          <w:tcPr>
            <w:tcW w:w="1564" w:type="dxa"/>
            <w:shd w:val="clear" w:color="auto" w:fill="D4E1ED"/>
            <w:tcMar>
              <w:left w:w="10" w:type="dxa"/>
              <w:right w:w="10" w:type="dxa"/>
            </w:tcMar>
          </w:tcPr>
          <w:p w14:paraId="0B23A105"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83,12%</w:t>
            </w:r>
          </w:p>
        </w:tc>
        <w:tc>
          <w:tcPr>
            <w:tcW w:w="1560" w:type="dxa"/>
            <w:shd w:val="clear" w:color="auto" w:fill="D4E1ED"/>
            <w:tcMar>
              <w:left w:w="10" w:type="dxa"/>
              <w:right w:w="10" w:type="dxa"/>
            </w:tcMar>
          </w:tcPr>
          <w:p w14:paraId="70E4F995" w14:textId="77777777" w:rsidR="005A6DBB" w:rsidRDefault="00F93099">
            <w:pPr>
              <w:spacing w:before="120" w:after="120"/>
              <w:jc w:val="center"/>
              <w:rPr>
                <w:rFonts w:eastAsia="Calibri" w:cs="Calibri"/>
                <w:color w:val="000000" w:themeColor="text1"/>
                <w:sz w:val="18"/>
                <w:szCs w:val="18"/>
              </w:rPr>
            </w:pPr>
            <w:r>
              <w:rPr>
                <w:rFonts w:eastAsia="Calibri" w:cs="Calibri"/>
                <w:color w:val="000000" w:themeColor="text1"/>
                <w:sz w:val="18"/>
                <w:szCs w:val="18"/>
              </w:rPr>
              <w:t>81,16%</w:t>
            </w:r>
          </w:p>
        </w:tc>
        <w:tc>
          <w:tcPr>
            <w:tcW w:w="1558" w:type="dxa"/>
            <w:shd w:val="clear" w:color="auto" w:fill="D4E1ED"/>
            <w:tcMar>
              <w:left w:w="10" w:type="dxa"/>
              <w:right w:w="10" w:type="dxa"/>
            </w:tcMar>
          </w:tcPr>
          <w:p w14:paraId="1B47AEE2" w14:textId="77777777" w:rsidR="005A6DBB" w:rsidRDefault="00F93099">
            <w:pPr>
              <w:keepNext/>
              <w:spacing w:before="120" w:after="120"/>
              <w:jc w:val="center"/>
              <w:rPr>
                <w:rFonts w:eastAsia="Calibri" w:cs="Calibri"/>
                <w:color w:val="000000" w:themeColor="text1"/>
                <w:sz w:val="18"/>
                <w:szCs w:val="18"/>
              </w:rPr>
            </w:pPr>
            <w:r>
              <w:rPr>
                <w:rFonts w:eastAsia="Calibri" w:cs="Calibri"/>
                <w:color w:val="000000" w:themeColor="text1"/>
                <w:sz w:val="18"/>
                <w:szCs w:val="18"/>
              </w:rPr>
              <w:t>79,44%</w:t>
            </w:r>
          </w:p>
        </w:tc>
      </w:tr>
    </w:tbl>
    <w:p w14:paraId="112E1DF4" w14:textId="74E42866" w:rsidR="005A6DBB" w:rsidRDefault="00F93099">
      <w:pPr>
        <w:pStyle w:val="Caption"/>
      </w:pPr>
      <w:r>
        <w:t xml:space="preserve">Table </w:t>
      </w:r>
      <w:r>
        <w:fldChar w:fldCharType="begin"/>
      </w:r>
      <w:r>
        <w:instrText xml:space="preserve"> SEQ Table \* ARABIC </w:instrText>
      </w:r>
      <w:r>
        <w:fldChar w:fldCharType="separate"/>
      </w:r>
      <w:r w:rsidR="00A564BE">
        <w:rPr>
          <w:noProof/>
        </w:rPr>
        <w:t>8</w:t>
      </w:r>
      <w:r>
        <w:fldChar w:fldCharType="end"/>
      </w:r>
      <w:r>
        <w:t xml:space="preserve"> - Annual Collection Rate</w:t>
      </w:r>
    </w:p>
    <w:p w14:paraId="313FCE77" w14:textId="77777777" w:rsidR="005A6DBB" w:rsidRDefault="00F93099">
      <w:pPr>
        <w:spacing w:before="120" w:after="120"/>
        <w:rPr>
          <w:rFonts w:eastAsia="Calibri" w:cs="Calibri"/>
        </w:rPr>
      </w:pPr>
      <w:r>
        <w:rPr>
          <w:rFonts w:eastAsia="Calibri" w:cs="Calibri"/>
        </w:rPr>
        <w:t>The above indicates that the collection rate remained below the norm for all three financial years under consideration.  There is a downward trend in the ratios over the last three financial year.  The inability to collect revenue and thereby convert revenue to cash is contributing the cash flow challenges being experienced by the Municipality.  As such, the recommendation on revenue collection must be hard-hitting to stem the trend of non/poor collection of revenue, with an adequate safety net for the poor.</w:t>
      </w:r>
    </w:p>
    <w:p w14:paraId="77E0873D" w14:textId="77777777" w:rsidR="005A6DBB" w:rsidRDefault="00F93099">
      <w:pPr>
        <w:keepNext/>
        <w:spacing w:before="120" w:after="120"/>
      </w:pPr>
      <w:r>
        <w:rPr>
          <w:noProof/>
          <w:lang w:val="en-ZA" w:eastAsia="en-ZA"/>
        </w:rPr>
        <w:drawing>
          <wp:inline distT="0" distB="0" distL="0" distR="0" wp14:anchorId="36DF1FD9" wp14:editId="28D59755">
            <wp:extent cx="5849620" cy="2734310"/>
            <wp:effectExtent l="0" t="0" r="17780" b="8890"/>
            <wp:docPr id="10701231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B13175" w14:textId="59885C81" w:rsidR="005A6DBB" w:rsidRDefault="00F93099">
      <w:pPr>
        <w:pStyle w:val="Caption"/>
        <w:rPr>
          <w:rFonts w:eastAsia="Calibri" w:cs="Calibri"/>
          <w:szCs w:val="22"/>
        </w:rPr>
      </w:pPr>
      <w:r>
        <w:t xml:space="preserve">Table </w:t>
      </w:r>
      <w:r>
        <w:fldChar w:fldCharType="begin"/>
      </w:r>
      <w:r>
        <w:instrText xml:space="preserve"> SEQ Table \* ARABIC </w:instrText>
      </w:r>
      <w:r>
        <w:fldChar w:fldCharType="separate"/>
      </w:r>
      <w:r w:rsidR="00A564BE">
        <w:rPr>
          <w:noProof/>
        </w:rPr>
        <w:t>9</w:t>
      </w:r>
      <w:r>
        <w:fldChar w:fldCharType="end"/>
      </w:r>
      <w:r>
        <w:t xml:space="preserve"> - The Impact of the Low Collection Ratio on Cash Flow.</w:t>
      </w:r>
    </w:p>
    <w:p w14:paraId="57C350E9" w14:textId="77777777" w:rsidR="005A6DBB" w:rsidRDefault="00F93099">
      <w:pPr>
        <w:rPr>
          <w:rFonts w:eastAsia="Calibri"/>
        </w:rPr>
      </w:pPr>
      <w:r>
        <w:rPr>
          <w:rFonts w:eastAsia="Calibri"/>
        </w:rPr>
        <w:t xml:space="preserve">The calculated impact of the low collection ratio on cash flow for MMM indicate R914 million lost through poor collections in 2021/22 which equates to 66% of total revenue generated through property rates.  This number is more than the total operational grants for the same period of R877.6 million in 2021/22. The trend of collections and the impact on cash flow is alarming. </w:t>
      </w:r>
    </w:p>
    <w:p w14:paraId="7B03DAC6" w14:textId="77777777" w:rsidR="005A6DBB" w:rsidRDefault="00F93099">
      <w:pPr>
        <w:spacing w:before="120" w:after="120"/>
        <w:rPr>
          <w:rFonts w:eastAsia="Calibri" w:cs="Calibri"/>
          <w:szCs w:val="22"/>
        </w:rPr>
      </w:pPr>
      <w:r>
        <w:rPr>
          <w:rFonts w:eastAsia="Calibri" w:cs="Calibri"/>
          <w:szCs w:val="22"/>
        </w:rPr>
        <w:t>Other factors contributing to this non-performance are:</w:t>
      </w:r>
    </w:p>
    <w:p w14:paraId="5DECDFD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Bidi"/>
          <w:sz w:val="22"/>
          <w:szCs w:val="22"/>
          <w:lang w:val="en-US"/>
        </w:rPr>
      </w:pPr>
      <w:r>
        <w:rPr>
          <w:rFonts w:asciiTheme="minorHAnsi" w:eastAsia="Calibri" w:hAnsiTheme="minorHAnsi" w:cstheme="minorBidi"/>
          <w:sz w:val="22"/>
          <w:szCs w:val="22"/>
          <w:lang w:val="en-US"/>
        </w:rPr>
        <w:t>Critical vacant posts are not filled;</w:t>
      </w:r>
    </w:p>
    <w:p w14:paraId="6354AD32" w14:textId="77777777" w:rsidR="005A6DBB" w:rsidRDefault="00F93099">
      <w:pPr>
        <w:pStyle w:val="ListParagraph"/>
        <w:numPr>
          <w:ilvl w:val="0"/>
          <w:numId w:val="8"/>
        </w:numPr>
        <w:spacing w:before="120" w:after="120" w:line="360" w:lineRule="auto"/>
        <w:ind w:left="357" w:hanging="357"/>
        <w:contextualSpacing w:val="0"/>
        <w:jc w:val="both"/>
        <w:rPr>
          <w:rFonts w:ascii="Calibri" w:eastAsia="Calibri" w:hAnsi="Calibri" w:cs="Calibri"/>
          <w:sz w:val="22"/>
          <w:szCs w:val="22"/>
          <w:lang w:val="en-US"/>
        </w:rPr>
      </w:pPr>
      <w:r>
        <w:rPr>
          <w:rFonts w:asciiTheme="minorHAnsi" w:eastAsia="Calibri" w:hAnsiTheme="minorHAnsi" w:cstheme="minorBidi"/>
          <w:sz w:val="22"/>
          <w:szCs w:val="22"/>
          <w:lang w:val="en-US"/>
        </w:rPr>
        <w:t>Broken meters not being fixed;</w:t>
      </w:r>
    </w:p>
    <w:p w14:paraId="428552C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Billing is inaccurate and not timeously sent out; and</w:t>
      </w:r>
    </w:p>
    <w:p w14:paraId="0FC62AB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The non-implementation of revenue enhancement measures.</w:t>
      </w:r>
    </w:p>
    <w:p w14:paraId="40615059"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The strategy going forward:</w:t>
      </w:r>
    </w:p>
    <w:p w14:paraId="7054441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Fill critical vacancies and ensure that the revenue value chain activities are streamlined;</w:t>
      </w:r>
    </w:p>
    <w:p w14:paraId="6BC422EE"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Revenue enhancement initiatives need to be implemented and billing and collection and credit control processes need to be set and complied with;</w:t>
      </w:r>
    </w:p>
    <w:p w14:paraId="5E7CEDE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Contact government departments that owe the municipality and establish the payment terms. If that fails seek Provincial Treasury intervention and/or cut off services;</w:t>
      </w:r>
    </w:p>
    <w:p w14:paraId="79BEE6D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Stratify debtors into different buckets based on the expected recoverability; and</w:t>
      </w:r>
    </w:p>
    <w:p w14:paraId="2BA9D97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Development of key customer engagements (quarterly) and relationship building.</w:t>
      </w:r>
    </w:p>
    <w:p w14:paraId="2E084F52"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39" w:name="_Toc137732219"/>
      <w:r>
        <w:rPr>
          <w:rFonts w:eastAsia="Calibri" w:cs="Arial"/>
          <w:b/>
          <w:szCs w:val="26"/>
        </w:rPr>
        <w:t>CUSTOMER CARE AND DATA ACCURACY</w:t>
      </w:r>
      <w:bookmarkEnd w:id="39"/>
      <w:r>
        <w:rPr>
          <w:rFonts w:cs="Arial"/>
          <w:b/>
          <w:szCs w:val="26"/>
        </w:rPr>
        <w:tab/>
      </w:r>
    </w:p>
    <w:p w14:paraId="0FD7D342" w14:textId="77777777" w:rsidR="005A6DBB" w:rsidRDefault="00F93099">
      <w:pPr>
        <w:spacing w:before="120" w:after="120"/>
        <w:rPr>
          <w:rFonts w:eastAsia="Calibri" w:cs="Calibri"/>
          <w:szCs w:val="22"/>
        </w:rPr>
      </w:pPr>
      <w:r>
        <w:rPr>
          <w:rFonts w:eastAsia="Calibri" w:cs="Calibri"/>
          <w:szCs w:val="22"/>
        </w:rPr>
        <w:t>This section ties in with 4.4.3 above.</w:t>
      </w:r>
    </w:p>
    <w:p w14:paraId="65D055FA" w14:textId="77777777" w:rsidR="005A6DBB" w:rsidRDefault="00F93099">
      <w:pPr>
        <w:spacing w:before="120" w:after="120"/>
        <w:rPr>
          <w:rFonts w:eastAsia="Calibri" w:cs="Calibri"/>
          <w:szCs w:val="22"/>
        </w:rPr>
      </w:pPr>
      <w:r>
        <w:rPr>
          <w:rFonts w:eastAsia="Calibri" w:cs="Calibri"/>
          <w:szCs w:val="22"/>
        </w:rPr>
        <w:t>The main areas of concern are:</w:t>
      </w:r>
    </w:p>
    <w:p w14:paraId="047F5135" w14:textId="77777777" w:rsidR="005A6DBB" w:rsidRDefault="00F93099">
      <w:pPr>
        <w:spacing w:before="120" w:after="120"/>
        <w:rPr>
          <w:rFonts w:eastAsia="Calibri" w:cs="Calibri"/>
          <w:b/>
          <w:bCs/>
          <w:i/>
          <w:iCs/>
          <w:szCs w:val="22"/>
        </w:rPr>
      </w:pPr>
      <w:r>
        <w:rPr>
          <w:rFonts w:eastAsia="Calibri" w:cs="Calibri"/>
          <w:b/>
          <w:bCs/>
          <w:i/>
          <w:iCs/>
          <w:szCs w:val="22"/>
        </w:rPr>
        <w:t xml:space="preserve">Debtors’ data not accurate:  </w:t>
      </w:r>
    </w:p>
    <w:p w14:paraId="235B1B9F" w14:textId="77777777" w:rsidR="005A6DBB" w:rsidRDefault="00F93099">
      <w:pPr>
        <w:spacing w:before="120" w:after="120"/>
        <w:rPr>
          <w:rFonts w:eastAsia="Calibri" w:cs="Calibri"/>
          <w:szCs w:val="22"/>
        </w:rPr>
      </w:pPr>
      <w:r>
        <w:rPr>
          <w:rFonts w:eastAsia="Calibri" w:cs="Calibri"/>
          <w:szCs w:val="22"/>
        </w:rPr>
        <w:t xml:space="preserve">There is no effective system of internal control for revenue resulting in payment rates being low.  There are insufficient staff in the revenue collection section and the billing system does not have suitable checks and controls. </w:t>
      </w:r>
    </w:p>
    <w:p w14:paraId="793F7388" w14:textId="77777777" w:rsidR="005A6DBB" w:rsidRDefault="00F93099">
      <w:pPr>
        <w:spacing w:before="120" w:after="120"/>
        <w:rPr>
          <w:rFonts w:eastAsia="Calibri" w:cs="Calibri"/>
          <w:szCs w:val="22"/>
        </w:rPr>
      </w:pPr>
      <w:r>
        <w:rPr>
          <w:rFonts w:eastAsia="Calibri" w:cs="Calibri"/>
          <w:szCs w:val="22"/>
        </w:rPr>
        <w:t>The strategies going forward are as follows:</w:t>
      </w:r>
    </w:p>
    <w:p w14:paraId="1240214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Fill key vacancies;</w:t>
      </w:r>
    </w:p>
    <w:p w14:paraId="4149071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Undertake a data cleansing exercise of all the billing data;</w:t>
      </w:r>
    </w:p>
    <w:p w14:paraId="29A1F1F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Ensure tariffs are cost reflective;</w:t>
      </w:r>
    </w:p>
    <w:p w14:paraId="44CB9CA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Ensure all properties are being charged the correct rates and are charged the correct tariffs; and</w:t>
      </w:r>
    </w:p>
    <w:p w14:paraId="5246181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Ensure that meters are installed and read for metered services.</w:t>
      </w:r>
    </w:p>
    <w:p w14:paraId="661757F6" w14:textId="77777777" w:rsidR="005A6DBB" w:rsidRDefault="00F93099">
      <w:pPr>
        <w:spacing w:before="120" w:after="120"/>
        <w:rPr>
          <w:rFonts w:eastAsia="Calibri" w:cs="Calibri"/>
          <w:b/>
          <w:bCs/>
          <w:i/>
          <w:iCs/>
          <w:szCs w:val="22"/>
        </w:rPr>
      </w:pPr>
      <w:r>
        <w:rPr>
          <w:rFonts w:eastAsia="Calibri" w:cs="Calibri"/>
          <w:b/>
          <w:bCs/>
          <w:i/>
          <w:iCs/>
          <w:szCs w:val="22"/>
        </w:rPr>
        <w:t>Customer care is non – existent:</w:t>
      </w:r>
    </w:p>
    <w:p w14:paraId="28967340" w14:textId="77777777" w:rsidR="005A6DBB" w:rsidRDefault="00F93099">
      <w:pPr>
        <w:spacing w:before="120" w:after="120"/>
        <w:rPr>
          <w:rFonts w:eastAsia="Calibri" w:cs="Calibri"/>
          <w:szCs w:val="22"/>
        </w:rPr>
      </w:pPr>
      <w:r>
        <w:rPr>
          <w:rFonts w:eastAsia="Calibri" w:cs="Calibri"/>
          <w:szCs w:val="22"/>
        </w:rPr>
        <w:t xml:space="preserve">The customer care unit is dysfunctional.  Critical vacancies in the Customer Care Unit are not being filled.  </w:t>
      </w:r>
    </w:p>
    <w:p w14:paraId="2ED033E5" w14:textId="77777777" w:rsidR="005A6DBB" w:rsidRDefault="00F93099">
      <w:pPr>
        <w:spacing w:before="120" w:after="120"/>
        <w:rPr>
          <w:rFonts w:eastAsia="Calibri" w:cs="Calibri"/>
          <w:szCs w:val="22"/>
        </w:rPr>
      </w:pPr>
      <w:r>
        <w:rPr>
          <w:rFonts w:eastAsia="Calibri" w:cs="Calibri"/>
          <w:szCs w:val="22"/>
        </w:rPr>
        <w:t>The strategy going forward:</w:t>
      </w:r>
    </w:p>
    <w:p w14:paraId="0463A34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Fill critical vacancies and train staff in customer care techniques;</w:t>
      </w:r>
    </w:p>
    <w:p w14:paraId="7D7B680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Resuscitate the billing committee, town planning and key technical personnel to form part;</w:t>
      </w:r>
    </w:p>
    <w:p w14:paraId="0253C0B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Meter readers should capture changes on the properties to update the user profile;</w:t>
      </w:r>
    </w:p>
    <w:p w14:paraId="62143DC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Commission the CRM module; and</w:t>
      </w:r>
    </w:p>
    <w:p w14:paraId="3D94238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Use debt collectors when appointed to update the data for the customers.</w:t>
      </w:r>
    </w:p>
    <w:p w14:paraId="772440D8"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40" w:name="_Toc137732220"/>
      <w:r>
        <w:rPr>
          <w:rFonts w:eastAsia="Calibri" w:cs="Arial"/>
          <w:b/>
          <w:szCs w:val="26"/>
        </w:rPr>
        <w:t>COST REFLECTIVE TARIFFS</w:t>
      </w:r>
      <w:bookmarkEnd w:id="40"/>
    </w:p>
    <w:p w14:paraId="44D884E5" w14:textId="77777777" w:rsidR="005A6DBB" w:rsidRDefault="00F93099">
      <w:pPr>
        <w:spacing w:before="120" w:after="120"/>
        <w:rPr>
          <w:rFonts w:eastAsia="Calibri" w:cs="Calibri"/>
          <w:szCs w:val="22"/>
        </w:rPr>
      </w:pPr>
      <w:r>
        <w:rPr>
          <w:rFonts w:eastAsia="Calibri" w:cs="Calibri"/>
          <w:szCs w:val="22"/>
        </w:rPr>
        <w:t>The main area of concern is:</w:t>
      </w:r>
    </w:p>
    <w:p w14:paraId="416F2AB8" w14:textId="77777777" w:rsidR="005A6DBB" w:rsidRDefault="00F93099">
      <w:pPr>
        <w:spacing w:before="120" w:after="120"/>
        <w:rPr>
          <w:rFonts w:eastAsia="Calibri" w:cs="Calibri"/>
          <w:b/>
          <w:bCs/>
          <w:i/>
          <w:iCs/>
          <w:szCs w:val="22"/>
        </w:rPr>
      </w:pPr>
      <w:r>
        <w:rPr>
          <w:rFonts w:eastAsia="Calibri" w:cs="Calibri"/>
          <w:b/>
          <w:bCs/>
          <w:i/>
          <w:iCs/>
          <w:szCs w:val="22"/>
        </w:rPr>
        <w:t>Tariffs are not cost reflective:</w:t>
      </w:r>
    </w:p>
    <w:p w14:paraId="60C6B367" w14:textId="77777777" w:rsidR="005A6DBB" w:rsidRDefault="00F93099">
      <w:pPr>
        <w:spacing w:before="120" w:after="120"/>
        <w:rPr>
          <w:rFonts w:eastAsia="Calibri" w:cs="Calibri"/>
        </w:rPr>
      </w:pPr>
      <w:r>
        <w:rPr>
          <w:rFonts w:eastAsia="Calibri" w:cs="Calibri"/>
        </w:rPr>
        <w:t xml:space="preserve">The deficits for the 2020/21 and 2021/22 financial years show that cost reflective tariffs have not been set which indicates bad budgeting processes. </w:t>
      </w:r>
    </w:p>
    <w:p w14:paraId="41DD5919" w14:textId="77777777" w:rsidR="005A6DBB" w:rsidRDefault="00F93099">
      <w:pPr>
        <w:spacing w:before="120" w:after="120"/>
        <w:rPr>
          <w:rFonts w:eastAsia="Calibri" w:cs="Calibri"/>
        </w:rPr>
      </w:pPr>
      <w:r>
        <w:rPr>
          <w:rFonts w:eastAsia="Calibri" w:cs="Calibri"/>
        </w:rPr>
        <w:t>The cost of sales of water exceeds the selling price, which is a direct result in losses.</w:t>
      </w:r>
    </w:p>
    <w:p w14:paraId="63AFF663" w14:textId="77777777" w:rsidR="005A6DBB" w:rsidRDefault="00F93099">
      <w:pPr>
        <w:spacing w:before="120" w:after="120"/>
        <w:rPr>
          <w:rFonts w:eastAsia="Calibri" w:cs="Calibri"/>
          <w:szCs w:val="22"/>
        </w:rPr>
      </w:pPr>
      <w:r>
        <w:rPr>
          <w:rFonts w:eastAsia="Calibri" w:cs="Calibri"/>
          <w:szCs w:val="22"/>
        </w:rPr>
        <w:t>As part of the budgeting processes going forward cost of supply surveys and detailed tariff calculations need to be carried out to ensure cost reflective tariffs are set in terms of the different services tariff policies.  In the case of the water service discussions should be held with Bloem Water as regards their bulk tariffs.</w:t>
      </w:r>
    </w:p>
    <w:p w14:paraId="708C19CA" w14:textId="77777777" w:rsidR="005A6DBB" w:rsidRDefault="00F93099">
      <w:pPr>
        <w:spacing w:before="120" w:after="120"/>
        <w:rPr>
          <w:rFonts w:eastAsia="Calibri" w:cs="Calibri"/>
          <w:b/>
          <w:bCs/>
          <w:i/>
          <w:iCs/>
          <w:szCs w:val="22"/>
        </w:rPr>
      </w:pPr>
      <w:r>
        <w:rPr>
          <w:rFonts w:eastAsia="Calibri" w:cs="Calibri"/>
          <w:b/>
          <w:bCs/>
          <w:i/>
          <w:iCs/>
          <w:szCs w:val="22"/>
        </w:rPr>
        <w:t>Load shedding impact:</w:t>
      </w:r>
    </w:p>
    <w:p w14:paraId="49C654D1" w14:textId="77777777" w:rsidR="005A6DBB" w:rsidRDefault="00F93099">
      <w:pPr>
        <w:keepNext/>
        <w:spacing w:before="120" w:after="120"/>
        <w:rPr>
          <w:rFonts w:eastAsia="Calibri" w:cs="Calibri"/>
          <w:szCs w:val="22"/>
        </w:rPr>
      </w:pPr>
      <w:r>
        <w:rPr>
          <w:rFonts w:eastAsia="Calibri" w:cs="Calibri"/>
          <w:szCs w:val="22"/>
        </w:rPr>
        <w:t xml:space="preserve">Serious consideration should be given to the impact of load shedding on the electricity revenue and profitability of the municipality. </w:t>
      </w:r>
    </w:p>
    <w:p w14:paraId="58B0A845" w14:textId="77777777" w:rsidR="005A6DBB" w:rsidRDefault="00F93099">
      <w:pPr>
        <w:keepNext/>
        <w:spacing w:before="120" w:after="120"/>
      </w:pPr>
      <w:r>
        <w:rPr>
          <w:rFonts w:eastAsia="Calibri" w:cs="Calibri"/>
          <w:noProof/>
          <w:szCs w:val="22"/>
          <w:bdr w:val="single" w:sz="8" w:space="0" w:color="auto"/>
          <w:lang w:val="en-ZA" w:eastAsia="en-ZA"/>
        </w:rPr>
        <w:drawing>
          <wp:inline distT="0" distB="0" distL="0" distR="0" wp14:anchorId="251B6701" wp14:editId="274B6403">
            <wp:extent cx="5570220" cy="2026920"/>
            <wp:effectExtent l="0" t="0" r="0" b="0"/>
            <wp:docPr id="49145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0171"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570220" cy="2026920"/>
                    </a:xfrm>
                    <a:prstGeom prst="rect">
                      <a:avLst/>
                    </a:prstGeom>
                  </pic:spPr>
                </pic:pic>
              </a:graphicData>
            </a:graphic>
          </wp:inline>
        </w:drawing>
      </w:r>
    </w:p>
    <w:p w14:paraId="0C3450D0" w14:textId="40BFC5A7" w:rsidR="005A6DBB" w:rsidRDefault="00F93099">
      <w:pPr>
        <w:pStyle w:val="Caption"/>
      </w:pPr>
      <w:r>
        <w:t xml:space="preserve">Table </w:t>
      </w:r>
      <w:r>
        <w:fldChar w:fldCharType="begin"/>
      </w:r>
      <w:r>
        <w:instrText xml:space="preserve"> SEQ Table \* ARABIC </w:instrText>
      </w:r>
      <w:r>
        <w:fldChar w:fldCharType="separate"/>
      </w:r>
      <w:r w:rsidR="00A564BE">
        <w:rPr>
          <w:noProof/>
        </w:rPr>
        <w:t>10</w:t>
      </w:r>
      <w:r>
        <w:fldChar w:fldCharType="end"/>
      </w:r>
      <w:r>
        <w:t xml:space="preserve"> - National Load Shedding Hours by Financial Year (2023 updated 11 April 2023)</w:t>
      </w:r>
    </w:p>
    <w:p w14:paraId="4E0CE4B3" w14:textId="77777777" w:rsidR="005A6DBB" w:rsidRDefault="005A6DBB">
      <w:pPr>
        <w:rPr>
          <w:rFonts w:eastAsia="Calibri"/>
        </w:rPr>
      </w:pPr>
    </w:p>
    <w:p w14:paraId="5FAE7626" w14:textId="77777777" w:rsidR="005A6DBB" w:rsidRDefault="00F93099">
      <w:pPr>
        <w:keepNext/>
      </w:pPr>
      <w:r>
        <w:rPr>
          <w:rFonts w:eastAsia="Calibri"/>
          <w:noProof/>
          <w:bdr w:val="single" w:sz="6" w:space="0" w:color="auto"/>
          <w:lang w:val="en-ZA" w:eastAsia="en-ZA"/>
        </w:rPr>
        <w:drawing>
          <wp:inline distT="0" distB="0" distL="0" distR="0" wp14:anchorId="124887FB" wp14:editId="03956734">
            <wp:extent cx="5532120" cy="1950085"/>
            <wp:effectExtent l="0" t="0" r="0" b="0"/>
            <wp:docPr id="506782367"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2367" name="Picture 2" descr="Chart, line char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532120" cy="1950085"/>
                    </a:xfrm>
                    <a:prstGeom prst="rect">
                      <a:avLst/>
                    </a:prstGeom>
                  </pic:spPr>
                </pic:pic>
              </a:graphicData>
            </a:graphic>
          </wp:inline>
        </w:drawing>
      </w:r>
    </w:p>
    <w:p w14:paraId="42F788D0" w14:textId="29AA5AAA" w:rsidR="005A6DBB" w:rsidRDefault="00F93099">
      <w:pPr>
        <w:pStyle w:val="Caption"/>
      </w:pPr>
      <w:r>
        <w:t xml:space="preserve">Table </w:t>
      </w:r>
      <w:r>
        <w:fldChar w:fldCharType="begin"/>
      </w:r>
      <w:r>
        <w:instrText xml:space="preserve"> SEQ Table \* ARABIC </w:instrText>
      </w:r>
      <w:r>
        <w:fldChar w:fldCharType="separate"/>
      </w:r>
      <w:r w:rsidR="00A564BE">
        <w:rPr>
          <w:noProof/>
        </w:rPr>
        <w:t>11</w:t>
      </w:r>
      <w:r>
        <w:fldChar w:fldCharType="end"/>
      </w:r>
      <w:r>
        <w:t xml:space="preserve"> - Calculated Impact on MMM Electricity Revenue Due to Load Shedding</w:t>
      </w:r>
    </w:p>
    <w:p w14:paraId="2D487AD1" w14:textId="77777777" w:rsidR="005A6DBB" w:rsidRDefault="00F93099">
      <w:pPr>
        <w:rPr>
          <w:rFonts w:eastAsia="Calibri"/>
        </w:rPr>
      </w:pPr>
      <w:r>
        <w:rPr>
          <w:rFonts w:eastAsia="Calibri"/>
        </w:rPr>
        <w:t>It is calculated that MMM lost R71.4 million during the 2021/2022 financial year due to load shedding. The Municipality could lose R550 million in electricity sales for the 2022/2023 financial year based on the budgeted revenue for electricity and the current trend in load shedding hours.  In order to recover this lost revenue the Municipality would need to increase their electricity tariffs by an additional 7.3% to recover the lost gross margin to cover overheads costs not affected by the reduction in sales.</w:t>
      </w:r>
    </w:p>
    <w:p w14:paraId="509C62F1"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41" w:name="_Toc132788213"/>
      <w:bookmarkStart w:id="42" w:name="_Toc132725137"/>
      <w:bookmarkStart w:id="43" w:name="_Toc132880232"/>
      <w:bookmarkStart w:id="44" w:name="_Toc137732221"/>
      <w:bookmarkEnd w:id="41"/>
      <w:bookmarkEnd w:id="42"/>
      <w:bookmarkEnd w:id="43"/>
      <w:r>
        <w:rPr>
          <w:rFonts w:eastAsia="Calibri" w:cs="Arial"/>
          <w:b/>
          <w:szCs w:val="26"/>
        </w:rPr>
        <w:t>INDIGENT MANAGEMENT</w:t>
      </w:r>
      <w:bookmarkEnd w:id="44"/>
    </w:p>
    <w:p w14:paraId="1A8C882D" w14:textId="77777777" w:rsidR="005A6DBB" w:rsidRDefault="00F93099">
      <w:pPr>
        <w:spacing w:before="120" w:after="120"/>
        <w:rPr>
          <w:rFonts w:eastAsia="Calibri" w:cs="Calibri"/>
        </w:rPr>
      </w:pPr>
      <w:r>
        <w:rPr>
          <w:rFonts w:eastAsia="Calibri" w:cs="Calibri"/>
        </w:rPr>
        <w:t>The main area of concern is:</w:t>
      </w:r>
    </w:p>
    <w:p w14:paraId="1C50EAE9" w14:textId="77777777" w:rsidR="005A6DBB" w:rsidRDefault="00F93099">
      <w:pPr>
        <w:spacing w:before="120" w:after="120"/>
        <w:rPr>
          <w:rFonts w:eastAsia="Calibri" w:cs="Calibri"/>
          <w:b/>
          <w:bCs/>
          <w:i/>
          <w:iCs/>
        </w:rPr>
      </w:pPr>
      <w:r>
        <w:rPr>
          <w:rFonts w:eastAsia="Calibri" w:cs="Calibri"/>
          <w:b/>
          <w:bCs/>
          <w:i/>
          <w:iCs/>
        </w:rPr>
        <w:t>Indigent Register is not updated:</w:t>
      </w:r>
    </w:p>
    <w:p w14:paraId="6750A7D6" w14:textId="77777777" w:rsidR="005A6DBB" w:rsidRDefault="00F93099">
      <w:pPr>
        <w:spacing w:before="120" w:after="120"/>
        <w:rPr>
          <w:rFonts w:eastAsia="Calibri" w:cs="Calibri"/>
        </w:rPr>
      </w:pPr>
      <w:r>
        <w:rPr>
          <w:rFonts w:eastAsia="Calibri" w:cs="Calibri"/>
        </w:rPr>
        <w:t>There is an indigent register, but it needs to be reviewed.  The indigent policy was reviewed during June 2022 however not yet approved and adopted.</w:t>
      </w:r>
    </w:p>
    <w:p w14:paraId="1C43A99E" w14:textId="77777777" w:rsidR="005A6DBB" w:rsidRDefault="00F93099">
      <w:pPr>
        <w:spacing w:before="120" w:after="120"/>
        <w:rPr>
          <w:rFonts w:eastAsia="Calibri" w:cs="Calibri"/>
        </w:rPr>
      </w:pPr>
      <w:r>
        <w:rPr>
          <w:rFonts w:eastAsia="Calibri" w:cs="Calibri"/>
        </w:rPr>
        <w:t>It has 52 925 active accounts and 1 261 inactive accounts.  The indigent register is not updated and reviewed on a regular basis, that can lead to cash leakage and misalignment with the equitable share allocation.</w:t>
      </w:r>
    </w:p>
    <w:p w14:paraId="6ACEC2F3" w14:textId="77777777" w:rsidR="005A6DBB" w:rsidRDefault="00F93099">
      <w:pPr>
        <w:spacing w:before="120" w:after="120"/>
        <w:rPr>
          <w:rFonts w:eastAsia="Calibri" w:cs="Calibri"/>
        </w:rPr>
      </w:pPr>
      <w:r>
        <w:rPr>
          <w:rFonts w:eastAsia="Calibri" w:cs="Calibri"/>
        </w:rPr>
        <w:t>The strategies going forward are:</w:t>
      </w:r>
    </w:p>
    <w:p w14:paraId="1919D91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The indigent policy needs to be updated and adopted;</w:t>
      </w:r>
    </w:p>
    <w:p w14:paraId="0FAA281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A quantitative cost benefit analysis should be carried out to determine the most financially optimal option for the verification of indigent households.  This is essentially an evaluation of manual verification compared to obtaining a system; and</w:t>
      </w:r>
    </w:p>
    <w:p w14:paraId="0DD0C0F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The indigent register needs to be updated in line with the requirements of the policy and thereafter managed in terms of the policy.</w:t>
      </w:r>
    </w:p>
    <w:p w14:paraId="1C869513"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45" w:name="_Toc137732222"/>
      <w:r>
        <w:rPr>
          <w:rFonts w:eastAsia="Calibri" w:cs="Arial"/>
          <w:b/>
          <w:szCs w:val="26"/>
        </w:rPr>
        <w:t>SUPPLY CHAIN MANAGEMENT, COMPLIANCE AND VALUE FOR MONEY</w:t>
      </w:r>
      <w:bookmarkEnd w:id="45"/>
    </w:p>
    <w:p w14:paraId="7211C43A" w14:textId="77777777" w:rsidR="005A6DBB" w:rsidRDefault="00F93099">
      <w:pPr>
        <w:spacing w:before="120" w:after="120"/>
        <w:rPr>
          <w:rFonts w:eastAsia="Calibri" w:cs="Calibri"/>
          <w:szCs w:val="22"/>
        </w:rPr>
      </w:pPr>
      <w:r>
        <w:rPr>
          <w:rFonts w:eastAsia="Calibri" w:cs="Calibri"/>
          <w:szCs w:val="22"/>
        </w:rPr>
        <w:t>The main areas of concerns are:</w:t>
      </w:r>
    </w:p>
    <w:p w14:paraId="2EA1EC78" w14:textId="77777777" w:rsidR="005A6DBB" w:rsidRDefault="00F93099">
      <w:pPr>
        <w:spacing w:before="120" w:after="120"/>
        <w:rPr>
          <w:rFonts w:eastAsia="Calibri" w:cs="Calibri"/>
          <w:b/>
          <w:bCs/>
          <w:i/>
          <w:iCs/>
          <w:szCs w:val="22"/>
        </w:rPr>
      </w:pPr>
      <w:r>
        <w:rPr>
          <w:rFonts w:eastAsia="Calibri" w:cs="Calibri"/>
          <w:b/>
          <w:bCs/>
          <w:i/>
          <w:iCs/>
          <w:szCs w:val="22"/>
        </w:rPr>
        <w:t xml:space="preserve">Poor Conditional Grant Management: </w:t>
      </w:r>
    </w:p>
    <w:p w14:paraId="14F973C4" w14:textId="77777777" w:rsidR="005A6DBB" w:rsidRDefault="00F93099">
      <w:pPr>
        <w:spacing w:before="120" w:after="120"/>
        <w:rPr>
          <w:rFonts w:eastAsia="Calibri" w:cs="Calibri"/>
          <w:szCs w:val="22"/>
        </w:rPr>
      </w:pPr>
      <w:r>
        <w:rPr>
          <w:rFonts w:eastAsia="Calibri" w:cs="Calibri"/>
          <w:szCs w:val="22"/>
        </w:rPr>
        <w:t xml:space="preserve">Unspent conditional grants as at 30 June 2022 total R571.0 million.  There is insufficient cash on hand to cover payables and unspent conditional grants hence underspending on the capital budget.  This is an indication that conditional grants have been spent on operating expenditure.  In addition, there is insufficient financial and project management. </w:t>
      </w:r>
    </w:p>
    <w:p w14:paraId="40DAD436" w14:textId="77777777" w:rsidR="005A6DBB" w:rsidRDefault="00F93099">
      <w:pPr>
        <w:spacing w:before="120" w:after="120"/>
        <w:rPr>
          <w:rFonts w:eastAsia="Calibri" w:cs="Calibri"/>
          <w:szCs w:val="22"/>
        </w:rPr>
      </w:pPr>
      <w:r>
        <w:rPr>
          <w:rFonts w:eastAsia="Calibri" w:cs="Calibri"/>
          <w:szCs w:val="22"/>
        </w:rPr>
        <w:t xml:space="preserve">The strategy required is to devise a plan to repay unspent conditional grants and payables and include the monetary implications of the plan in future budgets to ensure payments are made in terms of the plan.  </w:t>
      </w:r>
    </w:p>
    <w:p w14:paraId="260BE353" w14:textId="77777777" w:rsidR="005A6DBB" w:rsidRDefault="00F93099">
      <w:pPr>
        <w:spacing w:before="120" w:after="120"/>
        <w:rPr>
          <w:rFonts w:eastAsia="Calibri" w:cs="Calibri"/>
          <w:szCs w:val="22"/>
        </w:rPr>
      </w:pPr>
      <w:r>
        <w:rPr>
          <w:rFonts w:eastAsia="Calibri" w:cs="Calibri"/>
          <w:szCs w:val="22"/>
        </w:rPr>
        <w:t>As at 30 June 2022 MMM has already committed R 258 million on capital projects which they have not yet provided funding for.</w:t>
      </w:r>
    </w:p>
    <w:p w14:paraId="311CBA79" w14:textId="77777777" w:rsidR="005A6DBB" w:rsidRDefault="00F93099">
      <w:pPr>
        <w:spacing w:before="120" w:after="120"/>
        <w:rPr>
          <w:rFonts w:eastAsia="Calibri" w:cs="Calibri"/>
          <w:b/>
          <w:bCs/>
          <w:i/>
          <w:iCs/>
          <w:szCs w:val="22"/>
        </w:rPr>
      </w:pPr>
      <w:r>
        <w:rPr>
          <w:rFonts w:eastAsia="Calibri" w:cs="Calibri"/>
          <w:b/>
          <w:bCs/>
          <w:i/>
          <w:iCs/>
          <w:szCs w:val="22"/>
        </w:rPr>
        <w:t xml:space="preserve">Non – Compliance with SCM Rules and Regulations: </w:t>
      </w:r>
    </w:p>
    <w:p w14:paraId="362A8D33" w14:textId="77777777" w:rsidR="005A6DBB" w:rsidRDefault="00F93099">
      <w:pPr>
        <w:spacing w:before="120" w:after="120"/>
        <w:rPr>
          <w:rFonts w:eastAsia="Calibri" w:cs="Calibri"/>
          <w:szCs w:val="22"/>
        </w:rPr>
      </w:pPr>
      <w:r>
        <w:rPr>
          <w:rFonts w:eastAsia="Calibri" w:cs="Calibri"/>
          <w:szCs w:val="22"/>
        </w:rPr>
        <w:t>High unauthorised, irregular and fruitless and wasteful expenditure (UIF&amp;W) is disclosed in the financial statements.  As at 30 June 2022 the situation is as follows:</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999"/>
        <w:gridCol w:w="2945"/>
        <w:gridCol w:w="3248"/>
      </w:tblGrid>
      <w:tr w:rsidR="005A6DBB" w14:paraId="02986B4C" w14:textId="77777777">
        <w:trPr>
          <w:trHeight w:val="570"/>
          <w:tblHeader/>
        </w:trPr>
        <w:tc>
          <w:tcPr>
            <w:tcW w:w="1631" w:type="pct"/>
            <w:shd w:val="clear" w:color="auto" w:fill="002060"/>
            <w:tcMar>
              <w:left w:w="10" w:type="dxa"/>
              <w:right w:w="10" w:type="dxa"/>
            </w:tcMar>
            <w:vAlign w:val="center"/>
          </w:tcPr>
          <w:p w14:paraId="19779DD2"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Expenditure</w:t>
            </w:r>
          </w:p>
        </w:tc>
        <w:tc>
          <w:tcPr>
            <w:tcW w:w="1602" w:type="pct"/>
            <w:shd w:val="clear" w:color="auto" w:fill="002060"/>
          </w:tcPr>
          <w:p w14:paraId="1CEE2EEC"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Accumulated as at 30 June 2021</w:t>
            </w:r>
          </w:p>
        </w:tc>
        <w:tc>
          <w:tcPr>
            <w:tcW w:w="1767" w:type="pct"/>
            <w:shd w:val="clear" w:color="auto" w:fill="002060"/>
            <w:tcMar>
              <w:left w:w="10" w:type="dxa"/>
              <w:right w:w="10" w:type="dxa"/>
            </w:tcMar>
            <w:vAlign w:val="center"/>
          </w:tcPr>
          <w:p w14:paraId="788ADEF6"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Accumulated as at 30 June 2022</w:t>
            </w:r>
          </w:p>
        </w:tc>
      </w:tr>
      <w:tr w:rsidR="005A6DBB" w14:paraId="2A35ABD7" w14:textId="77777777">
        <w:trPr>
          <w:trHeight w:val="390"/>
        </w:trPr>
        <w:tc>
          <w:tcPr>
            <w:tcW w:w="1631" w:type="pct"/>
            <w:shd w:val="clear" w:color="auto" w:fill="D4E1ED"/>
            <w:tcMar>
              <w:left w:w="10" w:type="dxa"/>
              <w:right w:w="10" w:type="dxa"/>
            </w:tcMar>
            <w:vAlign w:val="center"/>
          </w:tcPr>
          <w:p w14:paraId="2C58F3B0" w14:textId="77777777" w:rsidR="005A6DBB" w:rsidRDefault="00F93099">
            <w:pPr>
              <w:spacing w:before="120" w:after="120"/>
              <w:rPr>
                <w:rFonts w:eastAsia="Calibri" w:cs="Calibri"/>
                <w:color w:val="000000" w:themeColor="text1"/>
                <w:sz w:val="20"/>
                <w:szCs w:val="20"/>
              </w:rPr>
            </w:pPr>
            <w:r>
              <w:rPr>
                <w:rFonts w:eastAsia="Calibri" w:cs="Calibri"/>
                <w:color w:val="000000" w:themeColor="text1"/>
                <w:sz w:val="20"/>
                <w:szCs w:val="20"/>
              </w:rPr>
              <w:t>Unauthorised</w:t>
            </w:r>
          </w:p>
        </w:tc>
        <w:tc>
          <w:tcPr>
            <w:tcW w:w="1602" w:type="pct"/>
            <w:shd w:val="clear" w:color="auto" w:fill="D4E1ED"/>
          </w:tcPr>
          <w:p w14:paraId="6B897FCD"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4 191 015 979</w:t>
            </w:r>
          </w:p>
        </w:tc>
        <w:tc>
          <w:tcPr>
            <w:tcW w:w="1767" w:type="pct"/>
            <w:shd w:val="clear" w:color="auto" w:fill="D4E1ED"/>
            <w:tcMar>
              <w:left w:w="10" w:type="dxa"/>
              <w:right w:w="10" w:type="dxa"/>
            </w:tcMar>
            <w:vAlign w:val="center"/>
          </w:tcPr>
          <w:p w14:paraId="14F8DCA7"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5 639 510 990</w:t>
            </w:r>
          </w:p>
        </w:tc>
      </w:tr>
      <w:tr w:rsidR="005A6DBB" w14:paraId="72D9C5F2" w14:textId="77777777">
        <w:trPr>
          <w:trHeight w:val="390"/>
        </w:trPr>
        <w:tc>
          <w:tcPr>
            <w:tcW w:w="1631" w:type="pct"/>
            <w:shd w:val="clear" w:color="auto" w:fill="BED3E4"/>
            <w:tcMar>
              <w:left w:w="10" w:type="dxa"/>
              <w:right w:w="10" w:type="dxa"/>
            </w:tcMar>
            <w:vAlign w:val="center"/>
          </w:tcPr>
          <w:p w14:paraId="680E2148" w14:textId="77777777" w:rsidR="005A6DBB" w:rsidRDefault="00F93099">
            <w:pPr>
              <w:spacing w:before="120" w:after="120"/>
              <w:rPr>
                <w:rFonts w:eastAsia="Calibri" w:cs="Calibri"/>
                <w:color w:val="000000" w:themeColor="text1"/>
                <w:sz w:val="20"/>
                <w:szCs w:val="20"/>
              </w:rPr>
            </w:pPr>
            <w:r>
              <w:rPr>
                <w:rFonts w:eastAsia="Calibri" w:cs="Calibri"/>
                <w:color w:val="000000" w:themeColor="text1"/>
                <w:sz w:val="20"/>
                <w:szCs w:val="20"/>
              </w:rPr>
              <w:t>Irregular</w:t>
            </w:r>
          </w:p>
        </w:tc>
        <w:tc>
          <w:tcPr>
            <w:tcW w:w="1602" w:type="pct"/>
            <w:shd w:val="clear" w:color="auto" w:fill="BED3E4"/>
          </w:tcPr>
          <w:p w14:paraId="011FC09F"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2 895 923 645</w:t>
            </w:r>
          </w:p>
        </w:tc>
        <w:tc>
          <w:tcPr>
            <w:tcW w:w="1767" w:type="pct"/>
            <w:shd w:val="clear" w:color="auto" w:fill="BED3E4"/>
            <w:tcMar>
              <w:left w:w="10" w:type="dxa"/>
              <w:right w:w="10" w:type="dxa"/>
            </w:tcMar>
            <w:vAlign w:val="center"/>
          </w:tcPr>
          <w:p w14:paraId="3A2D31BC"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3 082 458 701</w:t>
            </w:r>
          </w:p>
        </w:tc>
      </w:tr>
      <w:tr w:rsidR="005A6DBB" w14:paraId="1E4B0B3F" w14:textId="77777777">
        <w:trPr>
          <w:trHeight w:val="390"/>
        </w:trPr>
        <w:tc>
          <w:tcPr>
            <w:tcW w:w="1631" w:type="pct"/>
            <w:shd w:val="clear" w:color="auto" w:fill="D4E1ED"/>
            <w:tcMar>
              <w:left w:w="10" w:type="dxa"/>
              <w:right w:w="10" w:type="dxa"/>
            </w:tcMar>
            <w:vAlign w:val="center"/>
          </w:tcPr>
          <w:p w14:paraId="278BD99D" w14:textId="77777777" w:rsidR="005A6DBB" w:rsidRDefault="00F93099">
            <w:pPr>
              <w:spacing w:before="120" w:after="120"/>
              <w:rPr>
                <w:rFonts w:eastAsia="Calibri" w:cs="Calibri"/>
                <w:color w:val="000000" w:themeColor="text1"/>
                <w:sz w:val="20"/>
                <w:szCs w:val="20"/>
              </w:rPr>
            </w:pPr>
            <w:r>
              <w:rPr>
                <w:rFonts w:eastAsia="Calibri" w:cs="Calibri"/>
                <w:color w:val="000000" w:themeColor="text1"/>
                <w:sz w:val="20"/>
                <w:szCs w:val="20"/>
              </w:rPr>
              <w:t>Fruitless and Wasteful</w:t>
            </w:r>
          </w:p>
        </w:tc>
        <w:tc>
          <w:tcPr>
            <w:tcW w:w="1602" w:type="pct"/>
            <w:shd w:val="clear" w:color="auto" w:fill="D4E1ED"/>
          </w:tcPr>
          <w:p w14:paraId="3B2829E3"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146 651 685</w:t>
            </w:r>
          </w:p>
        </w:tc>
        <w:tc>
          <w:tcPr>
            <w:tcW w:w="1767" w:type="pct"/>
            <w:shd w:val="clear" w:color="auto" w:fill="D4E1ED"/>
            <w:tcMar>
              <w:left w:w="10" w:type="dxa"/>
              <w:right w:w="10" w:type="dxa"/>
            </w:tcMar>
            <w:vAlign w:val="center"/>
          </w:tcPr>
          <w:p w14:paraId="0EDBB8BE" w14:textId="77777777" w:rsidR="005A6DBB" w:rsidRDefault="00F93099">
            <w:pPr>
              <w:spacing w:before="120" w:after="120"/>
              <w:jc w:val="right"/>
              <w:rPr>
                <w:rFonts w:eastAsia="Calibri" w:cs="Calibri"/>
                <w:color w:val="000000" w:themeColor="text1"/>
                <w:sz w:val="20"/>
                <w:szCs w:val="20"/>
              </w:rPr>
            </w:pPr>
            <w:r>
              <w:rPr>
                <w:rFonts w:eastAsia="Calibri" w:cs="Calibri"/>
                <w:color w:val="000000" w:themeColor="text1"/>
                <w:sz w:val="20"/>
                <w:szCs w:val="20"/>
              </w:rPr>
              <w:t>R 240 258 728</w:t>
            </w:r>
          </w:p>
        </w:tc>
      </w:tr>
      <w:tr w:rsidR="005A6DBB" w14:paraId="2EEE3269" w14:textId="77777777">
        <w:trPr>
          <w:trHeight w:val="390"/>
        </w:trPr>
        <w:tc>
          <w:tcPr>
            <w:tcW w:w="1631" w:type="pct"/>
            <w:shd w:val="clear" w:color="auto" w:fill="BED3E4"/>
            <w:tcMar>
              <w:left w:w="10" w:type="dxa"/>
              <w:right w:w="10" w:type="dxa"/>
            </w:tcMar>
            <w:vAlign w:val="center"/>
          </w:tcPr>
          <w:p w14:paraId="3FFB2888" w14:textId="77777777" w:rsidR="005A6DBB" w:rsidRDefault="00F93099">
            <w:pPr>
              <w:spacing w:before="120" w:after="120"/>
              <w:rPr>
                <w:rFonts w:eastAsia="Calibri" w:cs="Calibri"/>
                <w:b/>
                <w:bCs/>
                <w:color w:val="000000" w:themeColor="text1"/>
                <w:sz w:val="20"/>
                <w:szCs w:val="20"/>
              </w:rPr>
            </w:pPr>
            <w:r>
              <w:rPr>
                <w:rFonts w:eastAsia="Calibri" w:cs="Calibri"/>
                <w:b/>
                <w:bCs/>
                <w:color w:val="000000" w:themeColor="text1"/>
                <w:sz w:val="20"/>
                <w:szCs w:val="20"/>
              </w:rPr>
              <w:t>TOTAL</w:t>
            </w:r>
          </w:p>
        </w:tc>
        <w:tc>
          <w:tcPr>
            <w:tcW w:w="1602" w:type="pct"/>
            <w:shd w:val="clear" w:color="auto" w:fill="BED3E4"/>
          </w:tcPr>
          <w:p w14:paraId="214ECF89" w14:textId="77777777" w:rsidR="005A6DBB" w:rsidRDefault="00F93099">
            <w:pPr>
              <w:keepNext/>
              <w:spacing w:before="120" w:after="120"/>
              <w:jc w:val="right"/>
              <w:rPr>
                <w:rFonts w:eastAsia="Calibri" w:cs="Calibri"/>
                <w:b/>
                <w:bCs/>
                <w:color w:val="000000" w:themeColor="text1"/>
                <w:sz w:val="20"/>
                <w:szCs w:val="20"/>
              </w:rPr>
            </w:pPr>
            <w:r>
              <w:rPr>
                <w:rFonts w:eastAsia="Calibri" w:cs="Calibri"/>
                <w:b/>
                <w:bCs/>
                <w:color w:val="000000" w:themeColor="text1"/>
                <w:sz w:val="20"/>
                <w:szCs w:val="20"/>
              </w:rPr>
              <w:t>R 7 233 591 309</w:t>
            </w:r>
          </w:p>
        </w:tc>
        <w:tc>
          <w:tcPr>
            <w:tcW w:w="1767" w:type="pct"/>
            <w:shd w:val="clear" w:color="auto" w:fill="BED3E4"/>
            <w:tcMar>
              <w:left w:w="10" w:type="dxa"/>
              <w:right w:w="10" w:type="dxa"/>
            </w:tcMar>
            <w:vAlign w:val="center"/>
          </w:tcPr>
          <w:p w14:paraId="677C8459" w14:textId="77777777" w:rsidR="005A6DBB" w:rsidRDefault="00F93099">
            <w:pPr>
              <w:keepNext/>
              <w:spacing w:before="120" w:after="120"/>
              <w:jc w:val="right"/>
              <w:rPr>
                <w:rFonts w:eastAsia="Calibri" w:cs="Calibri"/>
                <w:b/>
                <w:bCs/>
                <w:color w:val="000000" w:themeColor="text1"/>
                <w:sz w:val="20"/>
                <w:szCs w:val="20"/>
              </w:rPr>
            </w:pPr>
            <w:r>
              <w:rPr>
                <w:rFonts w:eastAsia="Calibri" w:cs="Calibri"/>
                <w:b/>
                <w:bCs/>
                <w:color w:val="000000" w:themeColor="text1"/>
                <w:sz w:val="20"/>
                <w:szCs w:val="20"/>
              </w:rPr>
              <w:t>R 8 962 228 419</w:t>
            </w:r>
          </w:p>
        </w:tc>
      </w:tr>
    </w:tbl>
    <w:p w14:paraId="0310A517" w14:textId="40D4AA05" w:rsidR="005A6DBB" w:rsidRDefault="00F93099">
      <w:pPr>
        <w:pStyle w:val="Caption"/>
      </w:pPr>
      <w:r>
        <w:t xml:space="preserve">Table </w:t>
      </w:r>
      <w:r>
        <w:fldChar w:fldCharType="begin"/>
      </w:r>
      <w:r>
        <w:instrText xml:space="preserve"> SEQ Table \* ARABIC </w:instrText>
      </w:r>
      <w:r>
        <w:fldChar w:fldCharType="separate"/>
      </w:r>
      <w:r w:rsidR="00A564BE">
        <w:rPr>
          <w:noProof/>
        </w:rPr>
        <w:t>12</w:t>
      </w:r>
      <w:r>
        <w:fldChar w:fldCharType="end"/>
      </w:r>
      <w:r>
        <w:t xml:space="preserve"> - Unauthorised, Irregular and Fruitless and Wasteful Expenditure</w:t>
      </w:r>
    </w:p>
    <w:p w14:paraId="309A06A6" w14:textId="77777777" w:rsidR="005A6DBB" w:rsidRDefault="00F93099">
      <w:pPr>
        <w:spacing w:before="120" w:after="120"/>
        <w:rPr>
          <w:rFonts w:eastAsia="Calibri" w:cs="Calibri"/>
          <w:szCs w:val="22"/>
        </w:rPr>
      </w:pPr>
      <w:r>
        <w:rPr>
          <w:rFonts w:eastAsia="Calibri" w:cs="Calibri"/>
          <w:szCs w:val="22"/>
        </w:rPr>
        <w:t xml:space="preserve">There was an increase in UIF&amp;W of R 1,7 billion (24%) from the 2020/21 to the 2021/22 financial year.  This is excessive and clearly indicate the lack of consequence management and deficiencies in the SCM processes.  The above total should be compared to the total operating expenditure for 2021/22 of R9.2 billion. </w:t>
      </w:r>
    </w:p>
    <w:p w14:paraId="1FFDD6FD" w14:textId="77777777" w:rsidR="005A6DBB" w:rsidRDefault="00F93099">
      <w:pPr>
        <w:spacing w:before="120" w:after="120"/>
        <w:rPr>
          <w:rFonts w:eastAsia="Calibri" w:cs="Calibri"/>
          <w:szCs w:val="22"/>
        </w:rPr>
      </w:pPr>
      <w:r>
        <w:rPr>
          <w:rFonts w:eastAsia="Calibri" w:cs="Calibri"/>
          <w:szCs w:val="22"/>
        </w:rPr>
        <w:t>The contributing factors to the above are:</w:t>
      </w:r>
    </w:p>
    <w:p w14:paraId="682D79B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SCM Policy not adhered to; </w:t>
      </w:r>
    </w:p>
    <w:p w14:paraId="33A3E24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Disregard for SCM policy and regulations; and</w:t>
      </w:r>
    </w:p>
    <w:p w14:paraId="312BEA5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Spending limits are too high and need to be reviewed.</w:t>
      </w:r>
    </w:p>
    <w:p w14:paraId="7CC93EA7" w14:textId="77777777" w:rsidR="005A6DBB" w:rsidRDefault="00F93099">
      <w:pPr>
        <w:spacing w:before="120" w:after="120"/>
        <w:rPr>
          <w:rFonts w:eastAsia="Calibri" w:cs="Calibri"/>
          <w:szCs w:val="22"/>
        </w:rPr>
      </w:pPr>
      <w:r>
        <w:rPr>
          <w:rFonts w:eastAsia="Calibri" w:cs="Calibri"/>
          <w:szCs w:val="22"/>
        </w:rPr>
        <w:t xml:space="preserve">The strategies going forward are: </w:t>
      </w:r>
    </w:p>
    <w:p w14:paraId="4F7577F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Standard operating procedures need to be set for the SCM section;</w:t>
      </w:r>
    </w:p>
    <w:p w14:paraId="68881CC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The SCM policy needs to be reviewed to ensure ethical and legal processes in the SCM processes; </w:t>
      </w:r>
    </w:p>
    <w:p w14:paraId="48C46378"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UIF&amp;W expenditure to be interrogated with reasons therefore and to be submitted to Council for their decision on what action should be taken based on management’s recommendations.  Institute legal action and consequence management based on the outcomes of the investigations; and</w:t>
      </w:r>
    </w:p>
    <w:p w14:paraId="3128CB6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The disciplinary board must become operational so that action can be taken against staff involved in criminal and legal non-compliant activities.</w:t>
      </w:r>
    </w:p>
    <w:p w14:paraId="050F51CF" w14:textId="77777777" w:rsidR="005A6DBB" w:rsidRDefault="00F93099">
      <w:pPr>
        <w:spacing w:before="120" w:after="120"/>
        <w:rPr>
          <w:rFonts w:eastAsia="Calibri" w:cs="Calibri"/>
          <w:b/>
          <w:bCs/>
          <w:i/>
          <w:iCs/>
          <w:szCs w:val="22"/>
        </w:rPr>
      </w:pPr>
      <w:r>
        <w:rPr>
          <w:rFonts w:eastAsia="Calibri" w:cs="Calibri"/>
          <w:b/>
          <w:bCs/>
          <w:i/>
          <w:iCs/>
          <w:szCs w:val="22"/>
        </w:rPr>
        <w:t>No contract management in place and no monitoring for value for money:</w:t>
      </w:r>
    </w:p>
    <w:p w14:paraId="37C2388F" w14:textId="77777777" w:rsidR="005A6DBB" w:rsidRDefault="00F93099">
      <w:pPr>
        <w:spacing w:before="120" w:after="120"/>
        <w:rPr>
          <w:rFonts w:eastAsia="Calibri" w:cs="Calibri"/>
          <w:szCs w:val="22"/>
        </w:rPr>
      </w:pPr>
      <w:r>
        <w:rPr>
          <w:rFonts w:eastAsia="Calibri" w:cs="Calibri"/>
          <w:szCs w:val="22"/>
        </w:rPr>
        <w:t xml:space="preserve">Capital projects and operating services provided by contractors are not monitored and this is a contributing factor to the situation MMM finds itself in at present.  There is poor financial management and controls and poor SCM practices. </w:t>
      </w:r>
    </w:p>
    <w:p w14:paraId="31008EEE" w14:textId="77777777" w:rsidR="005A6DBB" w:rsidRDefault="00F93099">
      <w:pPr>
        <w:spacing w:before="120" w:after="120"/>
        <w:rPr>
          <w:rFonts w:eastAsia="Calibri" w:cs="Calibri"/>
        </w:rPr>
      </w:pPr>
      <w:r>
        <w:rPr>
          <w:rFonts w:eastAsia="Calibri" w:cs="Calibri"/>
        </w:rPr>
        <w:t xml:space="preserve">The strategy is all current contract documents to be scrutinised to identify whether MMM is receiving value for money and if not, appropriate legal action should be taken.  In addition, a system of contract service and performance needs to be put in place and should be incorporated into the SCM policy.  The Municipality should also ensure value for money.  Performance of service providers should be measured and monitored continuously to ensure that services are rendered at the agreed standard, frequency and cost.  </w:t>
      </w:r>
    </w:p>
    <w:p w14:paraId="7D781726" w14:textId="77777777" w:rsidR="005A6DBB" w:rsidRDefault="00F93099">
      <w:pPr>
        <w:spacing w:before="120" w:after="120"/>
        <w:rPr>
          <w:rFonts w:eastAsia="Calibri" w:cs="Calibri"/>
        </w:rPr>
      </w:pPr>
      <w:r>
        <w:rPr>
          <w:rFonts w:eastAsia="Calibri" w:cs="Calibri"/>
        </w:rPr>
        <w:t>MMM should establish a Project Management Office to ensure that contract management and value for money monitoring are affected.  Without this process in place, it is unlikely that fraud and corruption will be detected and rooted out.</w:t>
      </w:r>
    </w:p>
    <w:p w14:paraId="031D1315" w14:textId="77777777" w:rsidR="005A6DBB" w:rsidRDefault="005A6DBB">
      <w:pPr>
        <w:spacing w:before="120" w:after="120"/>
        <w:rPr>
          <w:rFonts w:eastAsia="Calibri" w:cs="Calibri"/>
        </w:rPr>
      </w:pPr>
    </w:p>
    <w:p w14:paraId="0D71ACED" w14:textId="77777777" w:rsidR="005A6DBB" w:rsidRDefault="005A6DBB">
      <w:pPr>
        <w:spacing w:before="120" w:after="120"/>
        <w:rPr>
          <w:rFonts w:eastAsia="Calibri" w:cs="Calibri"/>
        </w:rPr>
      </w:pPr>
    </w:p>
    <w:p w14:paraId="5D03BE97"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46" w:name="_Toc137732223"/>
      <w:r>
        <w:rPr>
          <w:rFonts w:eastAsia="Calibri" w:cs="Arial"/>
          <w:b/>
          <w:szCs w:val="26"/>
        </w:rPr>
        <w:t>CONTAINMENT AND CASH FLOW MANAGEMENT</w:t>
      </w:r>
      <w:bookmarkEnd w:id="46"/>
      <w:r>
        <w:rPr>
          <w:rFonts w:eastAsia="Calibri" w:cs="Arial"/>
          <w:b/>
          <w:szCs w:val="26"/>
        </w:rPr>
        <w:t xml:space="preserve"> </w:t>
      </w:r>
    </w:p>
    <w:p w14:paraId="73B38410" w14:textId="77777777" w:rsidR="005A6DBB" w:rsidRDefault="00F93099">
      <w:pPr>
        <w:spacing w:before="120" w:after="120"/>
        <w:rPr>
          <w:rFonts w:eastAsia="Calibri" w:cs="Calibri"/>
          <w:szCs w:val="22"/>
        </w:rPr>
      </w:pPr>
      <w:r>
        <w:rPr>
          <w:rFonts w:eastAsia="Calibri" w:cs="Calibri"/>
          <w:szCs w:val="22"/>
        </w:rPr>
        <w:t>The main area of concern is:</w:t>
      </w:r>
    </w:p>
    <w:p w14:paraId="48DE5884" w14:textId="77777777" w:rsidR="005A6DBB" w:rsidRDefault="00F93099">
      <w:pPr>
        <w:spacing w:before="120" w:after="120"/>
        <w:rPr>
          <w:rFonts w:eastAsia="Calibri" w:cs="Calibri"/>
          <w:b/>
          <w:bCs/>
          <w:i/>
          <w:iCs/>
          <w:szCs w:val="22"/>
        </w:rPr>
      </w:pPr>
      <w:r>
        <w:rPr>
          <w:rFonts w:eastAsia="Calibri" w:cs="Calibri"/>
          <w:b/>
          <w:bCs/>
          <w:i/>
          <w:iCs/>
          <w:szCs w:val="22"/>
        </w:rPr>
        <w:t xml:space="preserve">Poor Cashflow: </w:t>
      </w:r>
    </w:p>
    <w:p w14:paraId="14F69FCA" w14:textId="77777777" w:rsidR="005A6DBB" w:rsidRDefault="00F93099">
      <w:pPr>
        <w:spacing w:before="120" w:after="120"/>
        <w:rPr>
          <w:rFonts w:eastAsia="Calibri" w:cs="Calibri"/>
          <w:szCs w:val="22"/>
        </w:rPr>
      </w:pPr>
      <w:r>
        <w:rPr>
          <w:rFonts w:eastAsia="Calibri" w:cs="Calibri"/>
          <w:szCs w:val="22"/>
        </w:rPr>
        <w:t>The cash/ cost coverage ratio is below 0.5 months when the norm is 1 to 3 months.</w:t>
      </w:r>
    </w:p>
    <w:p w14:paraId="545CC812" w14:textId="77777777" w:rsidR="005A6DBB" w:rsidRDefault="00F93099">
      <w:pPr>
        <w:spacing w:before="120" w:after="120"/>
        <w:rPr>
          <w:rFonts w:eastAsia="Calibri" w:cs="Calibri"/>
          <w:szCs w:val="22"/>
        </w:rPr>
      </w:pPr>
      <w:r>
        <w:rPr>
          <w:rFonts w:eastAsia="Calibri" w:cs="Calibri"/>
          <w:szCs w:val="22"/>
        </w:rPr>
        <w:t>The ratios for the three financial years applying MFMA Circular No. 71: Financial Ratios and Norms are as follows:</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4528"/>
        <w:gridCol w:w="1564"/>
        <w:gridCol w:w="1560"/>
        <w:gridCol w:w="1558"/>
      </w:tblGrid>
      <w:tr w:rsidR="005A6DBB" w14:paraId="3757E097" w14:textId="77777777">
        <w:trPr>
          <w:trHeight w:val="570"/>
          <w:tblHeader/>
        </w:trPr>
        <w:tc>
          <w:tcPr>
            <w:tcW w:w="4528" w:type="dxa"/>
            <w:shd w:val="clear" w:color="auto" w:fill="002060"/>
            <w:tcMar>
              <w:left w:w="10" w:type="dxa"/>
              <w:right w:w="10" w:type="dxa"/>
            </w:tcMar>
            <w:vAlign w:val="center"/>
          </w:tcPr>
          <w:p w14:paraId="06744384"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Ratio</w:t>
            </w:r>
          </w:p>
        </w:tc>
        <w:tc>
          <w:tcPr>
            <w:tcW w:w="1564" w:type="dxa"/>
            <w:shd w:val="clear" w:color="auto" w:fill="002060"/>
            <w:tcMar>
              <w:left w:w="10" w:type="dxa"/>
              <w:right w:w="10" w:type="dxa"/>
            </w:tcMar>
            <w:vAlign w:val="center"/>
          </w:tcPr>
          <w:p w14:paraId="354EE4CA"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Ratio for 2019/20</w:t>
            </w:r>
          </w:p>
          <w:p w14:paraId="2EABD7F3"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Restated</w:t>
            </w:r>
          </w:p>
        </w:tc>
        <w:tc>
          <w:tcPr>
            <w:tcW w:w="1560" w:type="dxa"/>
            <w:shd w:val="clear" w:color="auto" w:fill="002060"/>
            <w:tcMar>
              <w:left w:w="10" w:type="dxa"/>
              <w:right w:w="10" w:type="dxa"/>
            </w:tcMar>
            <w:vAlign w:val="center"/>
          </w:tcPr>
          <w:p w14:paraId="11885275"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Ratio for 2020/21</w:t>
            </w:r>
          </w:p>
          <w:p w14:paraId="35D0096D"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Restated</w:t>
            </w:r>
          </w:p>
        </w:tc>
        <w:tc>
          <w:tcPr>
            <w:tcW w:w="1558" w:type="dxa"/>
            <w:shd w:val="clear" w:color="auto" w:fill="002060"/>
            <w:tcMar>
              <w:left w:w="10" w:type="dxa"/>
              <w:right w:w="10" w:type="dxa"/>
            </w:tcMar>
            <w:vAlign w:val="center"/>
          </w:tcPr>
          <w:p w14:paraId="090679E9"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Ratio for 2021/22</w:t>
            </w:r>
          </w:p>
          <w:p w14:paraId="587F94EB"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Draft</w:t>
            </w:r>
          </w:p>
          <w:p w14:paraId="3180DAD5" w14:textId="77777777" w:rsidR="005A6DBB" w:rsidRDefault="00F93099">
            <w:pPr>
              <w:spacing w:before="120" w:after="120"/>
              <w:jc w:val="center"/>
              <w:rPr>
                <w:rFonts w:eastAsia="Calibri" w:cs="Calibri"/>
                <w:b/>
                <w:bCs/>
                <w:color w:val="FFFFFF" w:themeColor="background1"/>
                <w:sz w:val="20"/>
                <w:szCs w:val="20"/>
              </w:rPr>
            </w:pPr>
            <w:r>
              <w:rPr>
                <w:rFonts w:eastAsia="Calibri" w:cs="Calibri"/>
                <w:b/>
                <w:bCs/>
                <w:color w:val="FFFFFF" w:themeColor="background1"/>
                <w:sz w:val="20"/>
                <w:szCs w:val="20"/>
              </w:rPr>
              <w:t>Unaudited</w:t>
            </w:r>
          </w:p>
        </w:tc>
      </w:tr>
      <w:tr w:rsidR="005A6DBB" w14:paraId="69E4FE11" w14:textId="77777777">
        <w:trPr>
          <w:trHeight w:val="570"/>
        </w:trPr>
        <w:tc>
          <w:tcPr>
            <w:tcW w:w="4528" w:type="dxa"/>
            <w:shd w:val="clear" w:color="auto" w:fill="D4E1ED"/>
            <w:tcMar>
              <w:left w:w="10" w:type="dxa"/>
              <w:right w:w="10" w:type="dxa"/>
            </w:tcMar>
            <w:vAlign w:val="center"/>
          </w:tcPr>
          <w:p w14:paraId="414FD812" w14:textId="77777777" w:rsidR="005A6DBB" w:rsidRDefault="00F93099">
            <w:pPr>
              <w:spacing w:before="120" w:after="120"/>
              <w:rPr>
                <w:rFonts w:eastAsia="Calibri" w:cs="Calibri"/>
                <w:color w:val="000000" w:themeColor="text1"/>
                <w:sz w:val="20"/>
                <w:szCs w:val="20"/>
              </w:rPr>
            </w:pPr>
            <w:r>
              <w:rPr>
                <w:rFonts w:eastAsia="Calibri" w:cs="Calibri"/>
                <w:color w:val="000000" w:themeColor="text1"/>
                <w:sz w:val="20"/>
                <w:szCs w:val="20"/>
              </w:rPr>
              <w:t>Cash / Cost Coverage Ratio (Excl. Unspent Conditional Grants)</w:t>
            </w:r>
          </w:p>
          <w:p w14:paraId="2F2114DD" w14:textId="77777777" w:rsidR="005A6DBB" w:rsidRDefault="00F93099">
            <w:pPr>
              <w:spacing w:before="120" w:after="120"/>
              <w:rPr>
                <w:rFonts w:eastAsia="Calibri" w:cs="Calibri"/>
                <w:color w:val="000000" w:themeColor="text1"/>
                <w:sz w:val="20"/>
                <w:szCs w:val="20"/>
              </w:rPr>
            </w:pPr>
            <w:r>
              <w:rPr>
                <w:rFonts w:eastAsia="Calibri" w:cs="Calibri"/>
                <w:color w:val="000000" w:themeColor="text1"/>
                <w:sz w:val="20"/>
                <w:szCs w:val="20"/>
              </w:rPr>
              <w:t>Nom is 1 - 3 Months</w:t>
            </w:r>
          </w:p>
        </w:tc>
        <w:tc>
          <w:tcPr>
            <w:tcW w:w="1564" w:type="dxa"/>
            <w:shd w:val="clear" w:color="auto" w:fill="D4E1ED"/>
            <w:tcMar>
              <w:left w:w="10" w:type="dxa"/>
              <w:right w:w="10" w:type="dxa"/>
            </w:tcMar>
            <w:vAlign w:val="center"/>
          </w:tcPr>
          <w:p w14:paraId="232A3276" w14:textId="77777777" w:rsidR="005A6DBB" w:rsidRDefault="00F93099">
            <w:pPr>
              <w:spacing w:before="120" w:after="120"/>
              <w:jc w:val="center"/>
              <w:rPr>
                <w:rFonts w:eastAsia="Calibri" w:cs="Calibri"/>
                <w:color w:val="000000" w:themeColor="text1"/>
                <w:sz w:val="20"/>
                <w:szCs w:val="20"/>
              </w:rPr>
            </w:pPr>
            <w:r>
              <w:rPr>
                <w:rFonts w:eastAsia="Calibri" w:cs="Calibri"/>
                <w:color w:val="000000" w:themeColor="text1"/>
                <w:sz w:val="20"/>
                <w:szCs w:val="20"/>
              </w:rPr>
              <w:t>-0,02</w:t>
            </w:r>
          </w:p>
        </w:tc>
        <w:tc>
          <w:tcPr>
            <w:tcW w:w="1560" w:type="dxa"/>
            <w:shd w:val="clear" w:color="auto" w:fill="D4E1ED"/>
            <w:tcMar>
              <w:left w:w="10" w:type="dxa"/>
              <w:right w:w="10" w:type="dxa"/>
            </w:tcMar>
            <w:vAlign w:val="center"/>
          </w:tcPr>
          <w:p w14:paraId="24DE99FB" w14:textId="77777777" w:rsidR="005A6DBB" w:rsidRDefault="00F93099">
            <w:pPr>
              <w:spacing w:before="120" w:after="120"/>
              <w:jc w:val="center"/>
              <w:rPr>
                <w:rFonts w:eastAsia="Calibri" w:cs="Calibri"/>
                <w:color w:val="000000" w:themeColor="text1"/>
                <w:sz w:val="20"/>
                <w:szCs w:val="20"/>
              </w:rPr>
            </w:pPr>
            <w:r>
              <w:rPr>
                <w:rFonts w:eastAsia="Calibri" w:cs="Calibri"/>
                <w:color w:val="000000" w:themeColor="text1"/>
                <w:sz w:val="20"/>
                <w:szCs w:val="20"/>
              </w:rPr>
              <w:t>0,36</w:t>
            </w:r>
          </w:p>
        </w:tc>
        <w:tc>
          <w:tcPr>
            <w:tcW w:w="1558" w:type="dxa"/>
            <w:shd w:val="clear" w:color="auto" w:fill="D4E1ED"/>
            <w:tcMar>
              <w:left w:w="10" w:type="dxa"/>
              <w:right w:w="10" w:type="dxa"/>
            </w:tcMar>
            <w:vAlign w:val="center"/>
          </w:tcPr>
          <w:p w14:paraId="0AC6061B" w14:textId="77777777" w:rsidR="005A6DBB" w:rsidRDefault="00F93099">
            <w:pPr>
              <w:keepNext/>
              <w:spacing w:before="120" w:after="120"/>
              <w:jc w:val="center"/>
              <w:rPr>
                <w:rFonts w:eastAsia="Calibri" w:cs="Calibri"/>
                <w:color w:val="000000" w:themeColor="text1"/>
                <w:sz w:val="20"/>
                <w:szCs w:val="20"/>
              </w:rPr>
            </w:pPr>
            <w:r>
              <w:rPr>
                <w:rFonts w:eastAsia="Calibri" w:cs="Calibri"/>
                <w:color w:val="000000" w:themeColor="text1"/>
                <w:sz w:val="20"/>
                <w:szCs w:val="20"/>
              </w:rPr>
              <w:t>0,31</w:t>
            </w:r>
          </w:p>
        </w:tc>
      </w:tr>
    </w:tbl>
    <w:p w14:paraId="10F3BE3A" w14:textId="339CCC68" w:rsidR="005A6DBB" w:rsidRDefault="00F93099">
      <w:pPr>
        <w:pStyle w:val="Caption"/>
      </w:pPr>
      <w:r>
        <w:t xml:space="preserve">Table </w:t>
      </w:r>
      <w:r>
        <w:fldChar w:fldCharType="begin"/>
      </w:r>
      <w:r>
        <w:instrText xml:space="preserve"> SEQ Table \* ARABIC </w:instrText>
      </w:r>
      <w:r>
        <w:fldChar w:fldCharType="separate"/>
      </w:r>
      <w:r w:rsidR="00A564BE">
        <w:rPr>
          <w:noProof/>
        </w:rPr>
        <w:t>13</w:t>
      </w:r>
      <w:r>
        <w:fldChar w:fldCharType="end"/>
      </w:r>
      <w:r>
        <w:t xml:space="preserve"> - Cash to Cost Coverage</w:t>
      </w:r>
    </w:p>
    <w:p w14:paraId="71D567B2" w14:textId="77777777" w:rsidR="005A6DBB" w:rsidRDefault="00F93099">
      <w:pPr>
        <w:rPr>
          <w:rFonts w:eastAsia="Calibri" w:cs="Calibri"/>
          <w:szCs w:val="22"/>
        </w:rPr>
      </w:pPr>
      <w:r>
        <w:rPr>
          <w:rFonts w:eastAsia="Calibri" w:cs="Calibri"/>
          <w:szCs w:val="22"/>
        </w:rPr>
        <w:t>The cash/ cost coverage is substantially below the norm.  This is a result of:</w:t>
      </w:r>
    </w:p>
    <w:p w14:paraId="22F8137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The poor debtors’ collection rate which is the reason for the poor payment rate of MMM creditors;</w:t>
      </w:r>
    </w:p>
    <w:p w14:paraId="220ED8F4"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Excessive expenditure with no system of control; and</w:t>
      </w:r>
    </w:p>
    <w:p w14:paraId="2EA5C8A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Tariffs are not cost reflective. </w:t>
      </w:r>
    </w:p>
    <w:p w14:paraId="290EA6F9" w14:textId="77777777" w:rsidR="005A6DBB" w:rsidRDefault="00F93099">
      <w:pPr>
        <w:spacing w:before="120" w:after="120"/>
        <w:rPr>
          <w:rFonts w:eastAsia="Calibri" w:cs="Calibri"/>
          <w:szCs w:val="22"/>
        </w:rPr>
      </w:pPr>
      <w:r>
        <w:rPr>
          <w:rFonts w:eastAsia="Calibri" w:cs="Calibri"/>
          <w:szCs w:val="22"/>
        </w:rPr>
        <w:t>The strategy going forward is to establish a Cash Management Committee that sits daily to identify revenue received and control expenditure in line with the revenue received.  In addition, establish a system of expenditure/ order control where no expenditure/ order is authorised unless it is provided for in the cash backed budget.  Revenue collection should also be enhanced.</w:t>
      </w:r>
    </w:p>
    <w:p w14:paraId="32287A2C"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bookmarkStart w:id="47" w:name="_Toc137732224"/>
      <w:r>
        <w:rPr>
          <w:rFonts w:eastAsia="Calibri" w:cs="Arial"/>
          <w:b/>
          <w:szCs w:val="26"/>
        </w:rPr>
        <w:t>DEBT RESTRUCTURING</w:t>
      </w:r>
      <w:bookmarkEnd w:id="47"/>
    </w:p>
    <w:p w14:paraId="55E3AA0C" w14:textId="77777777" w:rsidR="005A6DBB" w:rsidRDefault="00F93099">
      <w:pPr>
        <w:spacing w:before="120" w:after="120"/>
        <w:rPr>
          <w:rFonts w:eastAsia="Calibri" w:cs="Calibri"/>
          <w:szCs w:val="22"/>
        </w:rPr>
      </w:pPr>
      <w:r>
        <w:rPr>
          <w:rFonts w:eastAsia="Calibri" w:cs="Calibri"/>
          <w:szCs w:val="22"/>
        </w:rPr>
        <w:t xml:space="preserve">The main areas of concern are: </w:t>
      </w:r>
    </w:p>
    <w:p w14:paraId="19FF73D1" w14:textId="77777777" w:rsidR="005A6DBB" w:rsidRDefault="00F93099">
      <w:pPr>
        <w:spacing w:before="120" w:after="120"/>
        <w:rPr>
          <w:rFonts w:eastAsia="Calibri" w:cs="Calibri"/>
          <w:b/>
          <w:bCs/>
          <w:i/>
          <w:iCs/>
          <w:szCs w:val="22"/>
        </w:rPr>
      </w:pPr>
      <w:r>
        <w:rPr>
          <w:rFonts w:eastAsia="Calibri" w:cs="Calibri"/>
          <w:b/>
          <w:bCs/>
          <w:i/>
          <w:iCs/>
          <w:szCs w:val="22"/>
        </w:rPr>
        <w:t>MMM has loans with DBSA, Standard Bank and Absa Bank valued at 30 June 2022 at R668 million (2020/21 R 776 million):</w:t>
      </w:r>
    </w:p>
    <w:p w14:paraId="780ACA27" w14:textId="77777777" w:rsidR="005A6DBB" w:rsidRPr="001E7A6B" w:rsidRDefault="00F93099">
      <w:pPr>
        <w:spacing w:before="120" w:after="120"/>
        <w:rPr>
          <w:rFonts w:eastAsia="Calibri" w:cs="Calibri"/>
          <w:szCs w:val="22"/>
        </w:rPr>
      </w:pPr>
      <w:r>
        <w:rPr>
          <w:rFonts w:eastAsia="Calibri" w:cs="Calibri"/>
          <w:szCs w:val="22"/>
        </w:rPr>
        <w:t xml:space="preserve">These loans are often serviced late due to cash flow constraints.  The loans in default as at 30 June 2022 totalled R382.1 million (2020/21 R 441.5 million), which is 57% of the outstanding balance.  This is a </w:t>
      </w:r>
      <w:r w:rsidRPr="001E7A6B">
        <w:rPr>
          <w:rFonts w:eastAsia="Calibri" w:cs="Calibri"/>
          <w:szCs w:val="22"/>
        </w:rPr>
        <w:t>further indication of the cash flow problems being experienced by MMM.</w:t>
      </w:r>
    </w:p>
    <w:p w14:paraId="08074B88" w14:textId="77777777" w:rsidR="005A6DBB" w:rsidRDefault="00F93099">
      <w:pPr>
        <w:spacing w:before="120" w:after="120"/>
        <w:rPr>
          <w:rFonts w:eastAsia="Calibri" w:cs="Calibri"/>
          <w:szCs w:val="22"/>
        </w:rPr>
      </w:pPr>
      <w:r w:rsidRPr="001E7A6B">
        <w:rPr>
          <w:rFonts w:eastAsia="Calibri" w:cs="Calibri"/>
          <w:szCs w:val="22"/>
        </w:rPr>
        <w:t>All the defaults on the above borrowings were remedied through payment of the accrued capital and interest amounts on the 8th of July 2021 and the 8th of July 2022 respectively.</w:t>
      </w:r>
    </w:p>
    <w:p w14:paraId="1AE962B8" w14:textId="77777777" w:rsidR="005A6DBB" w:rsidRDefault="00F93099">
      <w:pPr>
        <w:spacing w:before="120" w:after="120"/>
        <w:rPr>
          <w:rFonts w:eastAsia="Calibri" w:cs="Calibri"/>
          <w:szCs w:val="22"/>
        </w:rPr>
      </w:pPr>
      <w:r>
        <w:rPr>
          <w:rFonts w:eastAsia="Calibri" w:cs="Calibri"/>
          <w:szCs w:val="22"/>
        </w:rPr>
        <w:t xml:space="preserve">During 2020, rating agency Moody’s downgraded MMM’s credit rating from B3 to Caa1.  This has a negative effect on the Municipalities overall ability to obtain external funding and unfavourable interest rates.  </w:t>
      </w:r>
    </w:p>
    <w:p w14:paraId="067CFD2C" w14:textId="77777777" w:rsidR="005A6DBB" w:rsidRDefault="00F93099">
      <w:pPr>
        <w:spacing w:before="120" w:after="120"/>
        <w:rPr>
          <w:rFonts w:eastAsia="Calibri" w:cs="Calibri"/>
          <w:szCs w:val="22"/>
        </w:rPr>
      </w:pPr>
      <w:r>
        <w:rPr>
          <w:rFonts w:eastAsia="Calibri" w:cs="Calibri"/>
          <w:szCs w:val="22"/>
        </w:rPr>
        <w:t>If a new rating would be done, the possibility of a further downwards adjustment is high given the current state of affairs in the Municipality.</w:t>
      </w:r>
    </w:p>
    <w:p w14:paraId="040929AD" w14:textId="77777777" w:rsidR="005A6DBB" w:rsidRDefault="00F93099">
      <w:pPr>
        <w:spacing w:before="120" w:after="120"/>
        <w:rPr>
          <w:rFonts w:eastAsia="Calibri" w:cs="Calibri"/>
          <w:szCs w:val="22"/>
        </w:rPr>
      </w:pPr>
      <w:r>
        <w:rPr>
          <w:rFonts w:eastAsia="Calibri" w:cs="Calibri"/>
          <w:szCs w:val="22"/>
        </w:rPr>
        <w:t>The strategy going forward is:</w:t>
      </w:r>
    </w:p>
    <w:p w14:paraId="6E90772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Curtail unnecessary expenditure by putting controls in place;</w:t>
      </w:r>
    </w:p>
    <w:p w14:paraId="37384B4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Review the loans for a possibility to restructure, and re-negotiate payment terms;</w:t>
      </w:r>
    </w:p>
    <w:p w14:paraId="05AC54C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Make arrangements with loan creditors to repay current and outstanding amounts; and</w:t>
      </w:r>
    </w:p>
    <w:p w14:paraId="3F3D57C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Comply with the repayment arrangements by compiling a cash backed budget.</w:t>
      </w:r>
    </w:p>
    <w:p w14:paraId="2F5CF59D" w14:textId="77777777" w:rsidR="005A6DBB" w:rsidRDefault="00F93099">
      <w:pPr>
        <w:spacing w:before="120" w:after="120"/>
        <w:rPr>
          <w:rFonts w:eastAsia="Calibri" w:cs="Calibri"/>
          <w:b/>
          <w:bCs/>
          <w:i/>
          <w:iCs/>
          <w:szCs w:val="22"/>
        </w:rPr>
      </w:pPr>
      <w:r>
        <w:rPr>
          <w:rFonts w:eastAsia="Calibri" w:cs="Calibri"/>
          <w:b/>
          <w:bCs/>
          <w:i/>
          <w:iCs/>
          <w:szCs w:val="22"/>
        </w:rPr>
        <w:t xml:space="preserve">Payments to service providers in excess of 30 days: </w:t>
      </w:r>
    </w:p>
    <w:p w14:paraId="1C4741BC" w14:textId="77777777" w:rsidR="005A6DBB" w:rsidRDefault="00F93099">
      <w:pPr>
        <w:spacing w:before="120" w:after="120"/>
        <w:rPr>
          <w:rFonts w:eastAsia="Calibri" w:cs="Calibri"/>
          <w:szCs w:val="22"/>
        </w:rPr>
      </w:pPr>
      <w:r>
        <w:rPr>
          <w:rFonts w:eastAsia="Calibri" w:cs="Calibri"/>
          <w:szCs w:val="22"/>
        </w:rPr>
        <w:t xml:space="preserve">Creditors payment period as at 30 June 2022 was 115 days.  Total payables outstanding as at 30 June 2022 amounted to R2.0 billion, which is 27% of the total operating expenses budget. </w:t>
      </w:r>
    </w:p>
    <w:p w14:paraId="74B17786" w14:textId="77777777" w:rsidR="005A6DBB" w:rsidRDefault="00F93099">
      <w:pPr>
        <w:spacing w:before="120" w:after="120"/>
        <w:rPr>
          <w:rFonts w:eastAsia="Calibri" w:cs="Calibri"/>
          <w:szCs w:val="22"/>
        </w:rPr>
      </w:pPr>
      <w:r>
        <w:rPr>
          <w:rFonts w:eastAsia="Calibri" w:cs="Calibri"/>
          <w:szCs w:val="22"/>
        </w:rPr>
        <w:t>This is a further indication of:</w:t>
      </w:r>
    </w:p>
    <w:p w14:paraId="574352A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Cash flow problems; and</w:t>
      </w:r>
    </w:p>
    <w:p w14:paraId="4CC6BDF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Low revenue collection. </w:t>
      </w:r>
    </w:p>
    <w:p w14:paraId="7F736D45" w14:textId="77777777" w:rsidR="005A6DBB" w:rsidRDefault="00F93099">
      <w:pPr>
        <w:spacing w:before="120" w:after="120"/>
        <w:rPr>
          <w:rFonts w:eastAsia="Calibri" w:cs="Calibri"/>
          <w:szCs w:val="22"/>
        </w:rPr>
      </w:pPr>
      <w:r>
        <w:rPr>
          <w:rFonts w:eastAsia="Calibri" w:cs="Calibri"/>
          <w:szCs w:val="22"/>
        </w:rPr>
        <w:t>The strategies going forward are:</w:t>
      </w:r>
    </w:p>
    <w:p w14:paraId="0A33F28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Enhance revenue collection;</w:t>
      </w:r>
    </w:p>
    <w:p w14:paraId="05EB94F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Curtail unnecessary expenditure by putting controls in place;</w:t>
      </w:r>
    </w:p>
    <w:p w14:paraId="39BD6CA4"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Adhere to procurement plan;</w:t>
      </w:r>
    </w:p>
    <w:p w14:paraId="32FDA4E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Make arrangements with creditors to repay current and outstanding amounts; and</w:t>
      </w:r>
    </w:p>
    <w:p w14:paraId="47ACC74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Comply with the repayment arrangements by compiling a cash backed budget.</w:t>
      </w:r>
    </w:p>
    <w:p w14:paraId="4A66BF72"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eastAsia="Calibri" w:cs="Arial"/>
          <w:b/>
          <w:szCs w:val="26"/>
        </w:rPr>
      </w:pPr>
      <w:r>
        <w:rPr>
          <w:rFonts w:eastAsia="Calibri" w:cs="Arial"/>
          <w:b/>
          <w:szCs w:val="26"/>
        </w:rPr>
        <w:t xml:space="preserve"> </w:t>
      </w:r>
      <w:bookmarkStart w:id="48" w:name="_Toc137732225"/>
      <w:r>
        <w:rPr>
          <w:rFonts w:eastAsia="Calibri" w:cs="Arial"/>
          <w:b/>
          <w:szCs w:val="26"/>
        </w:rPr>
        <w:t>FINANCIAL CONTROL ENVIRONMENT</w:t>
      </w:r>
      <w:bookmarkEnd w:id="48"/>
      <w:r>
        <w:rPr>
          <w:rFonts w:eastAsia="Calibri" w:cs="Arial"/>
          <w:b/>
          <w:szCs w:val="26"/>
        </w:rPr>
        <w:t xml:space="preserve"> </w:t>
      </w:r>
    </w:p>
    <w:p w14:paraId="62CB5686" w14:textId="77777777" w:rsidR="005A6DBB" w:rsidRDefault="00F93099">
      <w:pPr>
        <w:spacing w:before="120" w:after="120"/>
        <w:rPr>
          <w:rFonts w:eastAsia="Calibri" w:cs="Calibri"/>
          <w:szCs w:val="22"/>
        </w:rPr>
      </w:pPr>
      <w:r>
        <w:rPr>
          <w:rFonts w:eastAsia="Calibri" w:cs="Calibri"/>
          <w:szCs w:val="22"/>
        </w:rPr>
        <w:t>The main areas of concern are:</w:t>
      </w:r>
    </w:p>
    <w:p w14:paraId="2DC331EA" w14:textId="77777777" w:rsidR="005A6DBB" w:rsidRDefault="00F93099">
      <w:pPr>
        <w:spacing w:before="120" w:after="120"/>
        <w:rPr>
          <w:rFonts w:eastAsia="Calibri" w:cs="Calibri"/>
          <w:b/>
          <w:bCs/>
          <w:i/>
          <w:iCs/>
          <w:szCs w:val="22"/>
        </w:rPr>
      </w:pPr>
      <w:r>
        <w:rPr>
          <w:rFonts w:eastAsia="Calibri" w:cs="Calibri"/>
          <w:b/>
          <w:bCs/>
          <w:i/>
          <w:iCs/>
          <w:szCs w:val="22"/>
        </w:rPr>
        <w:t xml:space="preserve">Preparation of Annual Financial Statements (AFS) not fully compliant: </w:t>
      </w:r>
    </w:p>
    <w:p w14:paraId="10DA90CD" w14:textId="77777777" w:rsidR="005A6DBB" w:rsidRPr="001E7A6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sidRPr="001E7A6B">
        <w:rPr>
          <w:rFonts w:asciiTheme="minorHAnsi" w:eastAsia="Calibri" w:hAnsiTheme="minorHAnsi" w:cstheme="minorHAnsi"/>
          <w:sz w:val="22"/>
          <w:szCs w:val="22"/>
          <w:lang w:val="en-US"/>
        </w:rPr>
        <w:t>The 2021/22 financial statements submitted were not prepared in all material respects in accordance with the requirements of Section 122(1) of the MFMA;</w:t>
      </w:r>
    </w:p>
    <w:p w14:paraId="2BF1BCD9" w14:textId="77777777" w:rsidR="005A6DBB" w:rsidRPr="001E7A6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sidRPr="001E7A6B">
        <w:rPr>
          <w:rFonts w:asciiTheme="minorHAnsi" w:eastAsia="Calibri" w:hAnsiTheme="minorHAnsi" w:cstheme="minorHAnsi"/>
          <w:sz w:val="22"/>
          <w:szCs w:val="22"/>
          <w:lang w:val="en-US"/>
        </w:rPr>
        <w:t xml:space="preserve">There were material uncorrected misstatements resulting in a </w:t>
      </w:r>
      <w:r w:rsidRPr="001E7A6B">
        <w:rPr>
          <w:rFonts w:asciiTheme="minorHAnsi" w:eastAsia="Calibri" w:hAnsiTheme="minorHAnsi" w:cstheme="minorHAnsi"/>
          <w:b/>
          <w:bCs/>
          <w:sz w:val="22"/>
          <w:szCs w:val="22"/>
          <w:lang w:val="en-US"/>
        </w:rPr>
        <w:t>qualified audit opinion</w:t>
      </w:r>
      <w:r w:rsidRPr="001E7A6B">
        <w:rPr>
          <w:rFonts w:asciiTheme="minorHAnsi" w:eastAsia="Calibri" w:hAnsiTheme="minorHAnsi" w:cstheme="minorHAnsi"/>
          <w:sz w:val="22"/>
          <w:szCs w:val="22"/>
          <w:lang w:val="en-US"/>
        </w:rPr>
        <w:t>; and</w:t>
      </w:r>
    </w:p>
    <w:p w14:paraId="73E6A965" w14:textId="77777777" w:rsidR="005A6DBB" w:rsidRPr="001E7A6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sidRPr="001E7A6B">
        <w:rPr>
          <w:rFonts w:asciiTheme="minorHAnsi" w:eastAsia="Calibri" w:hAnsiTheme="minorHAnsi" w:cstheme="minorHAnsi"/>
          <w:sz w:val="22"/>
          <w:szCs w:val="22"/>
          <w:lang w:val="en-US"/>
        </w:rPr>
        <w:t xml:space="preserve">There were also material restated figures in the 2019/20 and 2020/21 AFS. </w:t>
      </w:r>
    </w:p>
    <w:p w14:paraId="72FD7C5A" w14:textId="77777777" w:rsidR="005A6DBB" w:rsidRDefault="00F93099">
      <w:pPr>
        <w:spacing w:before="120" w:after="120"/>
        <w:rPr>
          <w:rFonts w:eastAsia="Calibri" w:cs="Calibri"/>
          <w:szCs w:val="22"/>
        </w:rPr>
      </w:pPr>
      <w:r>
        <w:rPr>
          <w:rFonts w:eastAsia="Calibri" w:cs="Calibri"/>
          <w:szCs w:val="22"/>
        </w:rPr>
        <w:t xml:space="preserve">The reason for the above is high reliance on consultants for assistance in the preparation of the AFS and inexperienced personnel due to the lack of skills transfer and poor employment practices. </w:t>
      </w:r>
    </w:p>
    <w:p w14:paraId="019881DC" w14:textId="77777777" w:rsidR="005A6DBB" w:rsidRDefault="00F93099">
      <w:pPr>
        <w:spacing w:before="120" w:after="120"/>
        <w:rPr>
          <w:rFonts w:eastAsia="Calibri" w:cs="Calibri"/>
          <w:szCs w:val="22"/>
        </w:rPr>
      </w:pPr>
      <w:r>
        <w:rPr>
          <w:rFonts w:eastAsia="Calibri" w:cs="Calibri"/>
          <w:szCs w:val="22"/>
        </w:rPr>
        <w:t>The strategy is to send existing qualified personnel on the requisite training course/s.  Interim AFS should be prepared and assessed to form the base of the year end AFS preparation.</w:t>
      </w:r>
    </w:p>
    <w:p w14:paraId="52BA7D75" w14:textId="77777777" w:rsidR="005A6DBB" w:rsidRDefault="00F93099">
      <w:pPr>
        <w:spacing w:before="120" w:after="120"/>
        <w:rPr>
          <w:rFonts w:eastAsia="Calibri" w:cs="Calibri"/>
          <w:b/>
          <w:bCs/>
          <w:i/>
          <w:iCs/>
          <w:szCs w:val="22"/>
        </w:rPr>
      </w:pPr>
      <w:proofErr w:type="spellStart"/>
      <w:r>
        <w:rPr>
          <w:rFonts w:eastAsia="Calibri" w:cs="Calibri"/>
          <w:b/>
          <w:bCs/>
          <w:i/>
          <w:iCs/>
          <w:szCs w:val="22"/>
        </w:rPr>
        <w:t>mSCOA</w:t>
      </w:r>
      <w:proofErr w:type="spellEnd"/>
      <w:r>
        <w:rPr>
          <w:rFonts w:eastAsia="Calibri" w:cs="Calibri"/>
          <w:b/>
          <w:bCs/>
          <w:i/>
          <w:iCs/>
          <w:szCs w:val="22"/>
        </w:rPr>
        <w:t xml:space="preserve"> strings are not in accordance with requirements: </w:t>
      </w:r>
    </w:p>
    <w:p w14:paraId="576BD59C" w14:textId="77777777" w:rsidR="005A6DBB" w:rsidRDefault="00F93099">
      <w:pPr>
        <w:spacing w:before="120" w:after="120"/>
        <w:rPr>
          <w:rFonts w:eastAsia="Calibri" w:cs="Calibri"/>
          <w:szCs w:val="22"/>
        </w:rPr>
      </w:pPr>
      <w:r>
        <w:rPr>
          <w:rFonts w:eastAsia="Calibri" w:cs="Calibri"/>
          <w:szCs w:val="22"/>
        </w:rPr>
        <w:t xml:space="preserve">The </w:t>
      </w:r>
      <w:proofErr w:type="spellStart"/>
      <w:r>
        <w:rPr>
          <w:rFonts w:eastAsia="Calibri" w:cs="Calibri"/>
          <w:i/>
          <w:iCs/>
          <w:szCs w:val="22"/>
        </w:rPr>
        <w:t>m</w:t>
      </w:r>
      <w:r>
        <w:rPr>
          <w:rFonts w:eastAsia="Calibri" w:cs="Calibri"/>
          <w:szCs w:val="22"/>
        </w:rPr>
        <w:t>SCOA</w:t>
      </w:r>
      <w:proofErr w:type="spellEnd"/>
      <w:r>
        <w:rPr>
          <w:rFonts w:eastAsia="Calibri" w:cs="Calibri"/>
          <w:szCs w:val="22"/>
        </w:rPr>
        <w:t xml:space="preserve"> strings are 85 percent compliant.  The reason for this is due to too much reliance on consultants with no transfer of skills by the consultants.  This should be further investigated as no value for money achieved.</w:t>
      </w:r>
    </w:p>
    <w:p w14:paraId="5EEE9A63" w14:textId="77777777" w:rsidR="005A6DBB" w:rsidRDefault="00F93099">
      <w:pPr>
        <w:spacing w:before="120" w:after="120"/>
        <w:rPr>
          <w:rFonts w:eastAsia="Calibri" w:cs="Calibri"/>
          <w:szCs w:val="22"/>
        </w:rPr>
      </w:pPr>
      <w:r>
        <w:rPr>
          <w:rFonts w:eastAsia="Calibri" w:cs="Calibri"/>
          <w:szCs w:val="22"/>
        </w:rPr>
        <w:t xml:space="preserve">The strategy is to provide relevant and necessary training for finance staff regarding </w:t>
      </w:r>
      <w:proofErr w:type="spellStart"/>
      <w:r>
        <w:rPr>
          <w:rFonts w:eastAsia="Calibri" w:cs="Calibri"/>
          <w:i/>
          <w:iCs/>
          <w:szCs w:val="22"/>
        </w:rPr>
        <w:t>m</w:t>
      </w:r>
      <w:r>
        <w:rPr>
          <w:rFonts w:eastAsia="Calibri" w:cs="Calibri"/>
          <w:szCs w:val="22"/>
        </w:rPr>
        <w:t>SCOA</w:t>
      </w:r>
      <w:proofErr w:type="spellEnd"/>
      <w:r>
        <w:rPr>
          <w:rFonts w:eastAsia="Calibri" w:cs="Calibri"/>
          <w:szCs w:val="22"/>
        </w:rPr>
        <w:t>.</w:t>
      </w:r>
    </w:p>
    <w:p w14:paraId="02A5A435" w14:textId="77777777" w:rsidR="005A6DBB" w:rsidRDefault="00F93099">
      <w:pPr>
        <w:spacing w:before="120" w:after="120"/>
        <w:rPr>
          <w:rFonts w:eastAsia="Calibri" w:cs="Calibri"/>
          <w:b/>
          <w:bCs/>
          <w:i/>
          <w:iCs/>
          <w:szCs w:val="22"/>
        </w:rPr>
      </w:pPr>
      <w:r>
        <w:rPr>
          <w:rFonts w:eastAsia="Calibri" w:cs="Calibri"/>
          <w:b/>
          <w:bCs/>
          <w:i/>
          <w:iCs/>
          <w:szCs w:val="22"/>
        </w:rPr>
        <w:t xml:space="preserve">Municipal Entity: CENTLEC: </w:t>
      </w:r>
    </w:p>
    <w:p w14:paraId="2799295F" w14:textId="77777777" w:rsidR="005A6DBB" w:rsidRDefault="00F93099">
      <w:pPr>
        <w:spacing w:before="120" w:after="120"/>
        <w:rPr>
          <w:rFonts w:eastAsia="Calibri" w:cs="Calibri"/>
          <w:szCs w:val="22"/>
        </w:rPr>
      </w:pPr>
      <w:r>
        <w:rPr>
          <w:rFonts w:eastAsia="Calibri" w:cs="Calibri"/>
          <w:szCs w:val="22"/>
        </w:rPr>
        <w:t>The principal activity of CENTLEC is the distribution of electricity to industries, businesses and households mainly in the Mangaung and Southern Free State areas.</w:t>
      </w:r>
    </w:p>
    <w:p w14:paraId="39D4EA1F" w14:textId="77777777" w:rsidR="005A6DBB" w:rsidRDefault="00F93099">
      <w:pPr>
        <w:spacing w:before="120" w:after="120"/>
        <w:rPr>
          <w:rFonts w:eastAsia="Calibri" w:cs="Calibri"/>
          <w:szCs w:val="22"/>
        </w:rPr>
      </w:pPr>
      <w:r>
        <w:rPr>
          <w:rFonts w:eastAsia="Calibri" w:cs="Calibri"/>
          <w:szCs w:val="22"/>
        </w:rPr>
        <w:t>The relevant balances as at 30 June 2022 are:</w:t>
      </w:r>
    </w:p>
    <w:p w14:paraId="3826721E"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Cash on hand R509.3 million;</w:t>
      </w:r>
    </w:p>
    <w:p w14:paraId="35F4ADF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Payables R890.8 million;</w:t>
      </w:r>
    </w:p>
    <w:p w14:paraId="06C3622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Deficit R189,5 million 2022 and R13.7 million 2021;</w:t>
      </w:r>
    </w:p>
    <w:p w14:paraId="1099688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Employee related costs R425.6 million;</w:t>
      </w:r>
    </w:p>
    <w:p w14:paraId="684CE92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Duplication of management and board members; and</w:t>
      </w:r>
    </w:p>
    <w:p w14:paraId="69984CC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MMM not able to use electricity as a lever for collection of other debts e.g., rates, water, etc. </w:t>
      </w:r>
    </w:p>
    <w:p w14:paraId="12C6A4E5"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From the above figures it is noted that Centlec has serious going concern challenges, operating on deficits and do not have sufficient cash at hand to settle short term liabilities.</w:t>
      </w:r>
    </w:p>
    <w:p w14:paraId="69B0B1EA" w14:textId="77777777" w:rsidR="005A6DBB" w:rsidRDefault="00F93099">
      <w:pPr>
        <w:spacing w:before="120" w:after="120"/>
        <w:rPr>
          <w:rFonts w:eastAsia="Calibri" w:cs="Calibri"/>
          <w:b/>
          <w:bCs/>
          <w:i/>
          <w:iCs/>
          <w:szCs w:val="22"/>
        </w:rPr>
      </w:pPr>
      <w:r>
        <w:rPr>
          <w:rFonts w:eastAsia="Calibri" w:cs="Calibri"/>
          <w:b/>
          <w:bCs/>
          <w:i/>
          <w:iCs/>
          <w:szCs w:val="22"/>
        </w:rPr>
        <w:t>Assessment conducted by EMS Solutions (Pty) on Centlec:</w:t>
      </w:r>
    </w:p>
    <w:p w14:paraId="3AA65E36" w14:textId="77777777" w:rsidR="005A6DBB" w:rsidRDefault="00F93099">
      <w:pPr>
        <w:spacing w:before="120" w:after="120"/>
        <w:rPr>
          <w:rFonts w:eastAsia="Calibri" w:cs="Calibri"/>
          <w:szCs w:val="22"/>
        </w:rPr>
      </w:pPr>
      <w:r>
        <w:rPr>
          <w:rFonts w:eastAsia="Calibri" w:cs="Calibri"/>
          <w:szCs w:val="22"/>
        </w:rPr>
        <w:t xml:space="preserve">An assessment was conducted by EMS Solutions (Pty) Ltd on the consideration for the sale of Centlec and incorporation of the Entity into MMM.  </w:t>
      </w:r>
    </w:p>
    <w:p w14:paraId="1B790F4B" w14:textId="77777777" w:rsidR="005A6DBB" w:rsidRDefault="00F93099">
      <w:pPr>
        <w:spacing w:before="120" w:after="120"/>
        <w:rPr>
          <w:rFonts w:eastAsia="Calibri" w:cs="Calibri"/>
          <w:szCs w:val="22"/>
        </w:rPr>
      </w:pPr>
      <w:r>
        <w:rPr>
          <w:rFonts w:eastAsia="Calibri" w:cs="Calibri"/>
          <w:szCs w:val="22"/>
        </w:rPr>
        <w:t>In the review of MMM, they assessed the financial impact of the Centlec entity on MMM's current financial position.  They examined a report on the new Sale of Business Agreement (unsigned) and their findings are summarised below:</w:t>
      </w:r>
    </w:p>
    <w:p w14:paraId="0E4C634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The report considered relevant legislation, including the Income Tax Act No. 58 of 1962, Municipal Finance Management Act 56 of 2003, Municipal Systems Act 32 of 2000, and Generally </w:t>
      </w:r>
      <w:proofErr w:type="spellStart"/>
      <w:r>
        <w:rPr>
          <w:rFonts w:asciiTheme="minorHAnsi" w:eastAsia="Calibri" w:hAnsiTheme="minorHAnsi" w:cstheme="minorHAnsi"/>
          <w:sz w:val="22"/>
          <w:szCs w:val="22"/>
          <w:lang w:val="en-US"/>
        </w:rPr>
        <w:t>Recognised</w:t>
      </w:r>
      <w:proofErr w:type="spellEnd"/>
      <w:r>
        <w:rPr>
          <w:rFonts w:asciiTheme="minorHAnsi" w:eastAsia="Calibri" w:hAnsiTheme="minorHAnsi" w:cstheme="minorHAnsi"/>
          <w:sz w:val="22"/>
          <w:szCs w:val="22"/>
          <w:lang w:val="en-US"/>
        </w:rPr>
        <w:t xml:space="preserve"> Accounting Practice (GRAP).</w:t>
      </w:r>
    </w:p>
    <w:p w14:paraId="238942A8" w14:textId="77777777" w:rsidR="005A6DBB" w:rsidRDefault="00F93099">
      <w:pPr>
        <w:spacing w:before="120" w:after="120"/>
        <w:rPr>
          <w:rFonts w:eastAsia="Calibri" w:cs="Calibri"/>
          <w:szCs w:val="22"/>
        </w:rPr>
      </w:pPr>
      <w:r>
        <w:rPr>
          <w:rFonts w:asciiTheme="minorHAnsi" w:eastAsia="Calibri" w:hAnsiTheme="minorHAnsi" w:cstheme="minorHAnsi"/>
          <w:szCs w:val="22"/>
          <w:lang w:val="en-US" w:eastAsia="en-GB"/>
        </w:rPr>
        <w:t>It addressed three main topics:</w:t>
      </w:r>
      <w:r>
        <w:rPr>
          <w:rFonts w:eastAsia="Calibri" w:cs="Calibri"/>
          <w:szCs w:val="22"/>
        </w:rPr>
        <w:t xml:space="preserve"> </w:t>
      </w:r>
    </w:p>
    <w:p w14:paraId="63CEF2C8" w14:textId="77777777" w:rsidR="005A6DBB" w:rsidRDefault="00F93099">
      <w:pPr>
        <w:pStyle w:val="ListParagraph"/>
        <w:numPr>
          <w:ilvl w:val="0"/>
          <w:numId w:val="12"/>
        </w:numPr>
        <w:spacing w:before="120" w:after="120" w:line="360" w:lineRule="auto"/>
        <w:ind w:left="357"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Guidance on shareholders' loans;</w:t>
      </w:r>
    </w:p>
    <w:p w14:paraId="1544D500" w14:textId="77777777" w:rsidR="005A6DBB" w:rsidRDefault="00F93099">
      <w:pPr>
        <w:pStyle w:val="ListParagraph"/>
        <w:numPr>
          <w:ilvl w:val="0"/>
          <w:numId w:val="12"/>
        </w:numPr>
        <w:spacing w:before="120" w:after="120" w:line="360" w:lineRule="auto"/>
        <w:ind w:left="357"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Intercompany loans, and capital advances loans; transfer of assets to MMM; and </w:t>
      </w:r>
    </w:p>
    <w:p w14:paraId="0CAC1B86" w14:textId="77777777" w:rsidR="005A6DBB" w:rsidRDefault="00F93099">
      <w:pPr>
        <w:pStyle w:val="ListParagraph"/>
        <w:numPr>
          <w:ilvl w:val="0"/>
          <w:numId w:val="12"/>
        </w:numPr>
        <w:spacing w:before="120" w:after="120" w:line="360" w:lineRule="auto"/>
        <w:ind w:left="357" w:hanging="357"/>
        <w:contextualSpacing w:val="0"/>
        <w:jc w:val="both"/>
        <w:rPr>
          <w:rFonts w:asciiTheme="minorHAnsi" w:eastAsia="Calibri" w:hAnsiTheme="minorHAnsi" w:cstheme="minorHAnsi"/>
          <w:sz w:val="22"/>
          <w:szCs w:val="22"/>
        </w:rPr>
      </w:pPr>
      <w:r>
        <w:rPr>
          <w:rFonts w:asciiTheme="minorHAnsi" w:eastAsia="Calibri" w:hAnsiTheme="minorHAnsi" w:cstheme="minorHAnsi"/>
          <w:sz w:val="22"/>
          <w:szCs w:val="22"/>
        </w:rPr>
        <w:t>Revenue management and collection.</w:t>
      </w:r>
    </w:p>
    <w:p w14:paraId="41A891D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Regarding shareholders' loans, intercompany loans, and capital advances loans, the report identified going concern implications for Centlec, noting serious financial challenges and likely liquidity problems.  It </w:t>
      </w:r>
      <w:proofErr w:type="spellStart"/>
      <w:r>
        <w:rPr>
          <w:rFonts w:asciiTheme="minorHAnsi" w:eastAsia="Calibri" w:hAnsiTheme="minorHAnsi" w:cstheme="minorHAnsi"/>
          <w:sz w:val="22"/>
          <w:szCs w:val="22"/>
          <w:lang w:val="en-US"/>
        </w:rPr>
        <w:t>analysed</w:t>
      </w:r>
      <w:proofErr w:type="spellEnd"/>
      <w:r>
        <w:rPr>
          <w:rFonts w:asciiTheme="minorHAnsi" w:eastAsia="Calibri" w:hAnsiTheme="minorHAnsi" w:cstheme="minorHAnsi"/>
          <w:sz w:val="22"/>
          <w:szCs w:val="22"/>
          <w:lang w:val="en-US"/>
        </w:rPr>
        <w:t xml:space="preserve"> a few options, such as adjusting the interest rate charged, adjusting the interest rate period, and </w:t>
      </w:r>
      <w:proofErr w:type="spellStart"/>
      <w:r>
        <w:rPr>
          <w:rFonts w:asciiTheme="minorHAnsi" w:eastAsia="Calibri" w:hAnsiTheme="minorHAnsi" w:cstheme="minorHAnsi"/>
          <w:sz w:val="22"/>
          <w:szCs w:val="22"/>
          <w:lang w:val="en-US"/>
        </w:rPr>
        <w:t>capitalising</w:t>
      </w:r>
      <w:proofErr w:type="spellEnd"/>
      <w:r>
        <w:rPr>
          <w:rFonts w:asciiTheme="minorHAnsi" w:eastAsia="Calibri" w:hAnsiTheme="minorHAnsi" w:cstheme="minorHAnsi"/>
          <w:sz w:val="22"/>
          <w:szCs w:val="22"/>
          <w:lang w:val="en-US"/>
        </w:rPr>
        <w:t xml:space="preserve"> the loan account (converting into equity).  However, none of these options resolve the combined or consolidated going concern issues. </w:t>
      </w:r>
    </w:p>
    <w:p w14:paraId="7AEF946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The primary concern with transferring assets to MMM is the accounting treatment and tax implications under the Income Tax Act (ITA).  Several points need to be addressed upon the transfer of assets, including responsibility for maintaining the fixed asset register, maintenance and insurance of the assets, procurement of new assets, and ownership of assets procured from </w:t>
      </w:r>
      <w:proofErr w:type="spellStart"/>
      <w:r>
        <w:rPr>
          <w:rFonts w:asciiTheme="minorHAnsi" w:eastAsia="Calibri" w:hAnsiTheme="minorHAnsi" w:cstheme="minorHAnsi"/>
          <w:sz w:val="22"/>
          <w:szCs w:val="22"/>
          <w:lang w:val="en-US"/>
        </w:rPr>
        <w:t>Centlec's</w:t>
      </w:r>
      <w:proofErr w:type="spellEnd"/>
      <w:r>
        <w:rPr>
          <w:rFonts w:asciiTheme="minorHAnsi" w:eastAsia="Calibri" w:hAnsiTheme="minorHAnsi" w:cstheme="minorHAnsi"/>
          <w:sz w:val="22"/>
          <w:szCs w:val="22"/>
          <w:lang w:val="en-US"/>
        </w:rPr>
        <w:t xml:space="preserve"> funds.  Compensation for the use of assets should be explored if Centlec still uses the assets after the transfer. </w:t>
      </w:r>
    </w:p>
    <w:p w14:paraId="541C650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 xml:space="preserve">Revenue management and collections play a vital role in the working relationship between MMM and Centlec.  Research indicates an average improvement of 8% in the collection rate if MMM gains control over service charges like electricity.  A standing committee for revenue and debt collection should be formed, with representatives from both entities, meeting at least twice a month.  The billing function should be consolidated within MMM, with staff transferred from Centlec and a billing system integration implemented.  Clear communication lines should be established for resolving disputes, providing payment updates, and executing reconnection requests.  Agreements should be reached on bank accounts for revenue collection and the transfer of revenue to Centlec for operational and capital expenditure. </w:t>
      </w:r>
    </w:p>
    <w:p w14:paraId="605D3122" w14:textId="77777777" w:rsidR="005A6DBB" w:rsidRDefault="00F93099">
      <w:pPr>
        <w:spacing w:before="120" w:after="120"/>
        <w:rPr>
          <w:rFonts w:eastAsia="Calibri" w:cs="Calibri"/>
          <w:szCs w:val="22"/>
        </w:rPr>
      </w:pPr>
      <w:r>
        <w:rPr>
          <w:rFonts w:eastAsia="Calibri" w:cs="Calibri"/>
          <w:szCs w:val="22"/>
        </w:rPr>
        <w:t>In conclusion, the financial relationship between MMM and Centlec requires a comprehensive review and strategic actions to address the challenges both entities face, particularly concerning liquidity and going concern issues.  By consolidating the billing function within MMM, establishing a standing committee for revenue and debt collection, and implementing clear communication lines, the working relationship between MMM and Centlec can be significantly improved.  Furthermore, careful consideration should be given to the transfer of assets and the treatment of shareholders' loans, intercompany loans, and capital advances loans to ensure compliance with relevant legislation and accounting practices.  By taking these steps, MMM and Centlec can strengthen their collaboration, enhance their financial stability, and better serve the needs of their customers and stakeholders.</w:t>
      </w:r>
    </w:p>
    <w:p w14:paraId="7232D2E5" w14:textId="77777777" w:rsidR="005A6DBB" w:rsidRDefault="00F93099">
      <w:pPr>
        <w:spacing w:before="120" w:after="120"/>
        <w:rPr>
          <w:rFonts w:eastAsia="Calibri" w:cs="Calibri"/>
        </w:rPr>
      </w:pPr>
      <w:r>
        <w:rPr>
          <w:rFonts w:eastAsia="Calibri" w:cs="Calibri"/>
        </w:rPr>
        <w:t>Strategy going forward is to do section 78 study to see the possibility of incorporating CENTLEC into MMM.  As it currently stands, and before re-incorporating this service into the Municipality, CENTLEC’s performance must be monitored continuously.</w:t>
      </w:r>
    </w:p>
    <w:p w14:paraId="22D18A76" w14:textId="77777777" w:rsidR="005A6DBB" w:rsidRDefault="00F93099">
      <w:pPr>
        <w:spacing w:before="120" w:after="120"/>
        <w:rPr>
          <w:rFonts w:eastAsia="Calibri" w:cs="Calibri"/>
          <w:b/>
          <w:bCs/>
          <w:i/>
          <w:iCs/>
          <w:szCs w:val="22"/>
        </w:rPr>
      </w:pPr>
      <w:r>
        <w:rPr>
          <w:rFonts w:eastAsia="Calibri" w:cs="Calibri"/>
          <w:b/>
          <w:bCs/>
          <w:i/>
          <w:iCs/>
          <w:szCs w:val="22"/>
        </w:rPr>
        <w:t>Entities - FRESHCO (Free State Social Housing Company):</w:t>
      </w:r>
    </w:p>
    <w:p w14:paraId="5BB9A0AA" w14:textId="77777777" w:rsidR="005A6DBB" w:rsidRDefault="00F93099">
      <w:pPr>
        <w:spacing w:before="120" w:after="120"/>
        <w:rPr>
          <w:rFonts w:eastAsia="Calibri" w:cs="Calibri"/>
          <w:szCs w:val="22"/>
        </w:rPr>
      </w:pPr>
      <w:r>
        <w:rPr>
          <w:rFonts w:eastAsia="Calibri" w:cs="Calibri"/>
          <w:b/>
          <w:bCs/>
          <w:szCs w:val="22"/>
        </w:rPr>
        <w:t>FRESHCO Vision</w:t>
      </w:r>
      <w:r>
        <w:rPr>
          <w:rFonts w:eastAsia="Calibri" w:cs="Calibri"/>
          <w:szCs w:val="22"/>
        </w:rPr>
        <w:t xml:space="preserve"> - Implement and pursue a programme of Social Housing suitable for low to medium income households.  </w:t>
      </w:r>
    </w:p>
    <w:p w14:paraId="7B5584C1" w14:textId="77777777" w:rsidR="005A6DBB" w:rsidRDefault="00F93099">
      <w:pPr>
        <w:spacing w:before="120" w:after="120"/>
        <w:rPr>
          <w:rFonts w:eastAsia="Calibri" w:cs="Calibri"/>
          <w:szCs w:val="22"/>
        </w:rPr>
      </w:pPr>
      <w:r>
        <w:rPr>
          <w:rFonts w:eastAsia="Calibri" w:cs="Calibri"/>
          <w:b/>
          <w:bCs/>
          <w:szCs w:val="22"/>
        </w:rPr>
        <w:t>Land Availability Hillside View</w:t>
      </w:r>
      <w:r>
        <w:rPr>
          <w:rFonts w:eastAsia="Calibri" w:cs="Calibri"/>
          <w:szCs w:val="22"/>
        </w:rPr>
        <w:t xml:space="preserve"> - The entity has entered into agreements with developers to implement and pursue a programme of land development, which will provide infrastructure and housing suitable for low to medium income households.  </w:t>
      </w:r>
    </w:p>
    <w:p w14:paraId="1AD2C8A4" w14:textId="77777777" w:rsidR="005A6DBB" w:rsidRDefault="00F93099">
      <w:pPr>
        <w:spacing w:before="120" w:after="120"/>
        <w:rPr>
          <w:rFonts w:eastAsia="Calibri" w:cs="Calibri"/>
          <w:szCs w:val="22"/>
        </w:rPr>
      </w:pPr>
      <w:r>
        <w:rPr>
          <w:rFonts w:eastAsia="Calibri" w:cs="Calibri"/>
          <w:szCs w:val="22"/>
        </w:rPr>
        <w:t xml:space="preserve">The agreement commenced on 10 July 2014 and shall be terminated on 31 October 2032, unless both parties agree to review the agreement period.  In terms of the agreement, the developer will develop 762 erven in Mangaung Extension 34, and 1580 erven in Mangaung Extension 35. </w:t>
      </w:r>
    </w:p>
    <w:p w14:paraId="2367FE0B" w14:textId="77777777" w:rsidR="005A6DBB" w:rsidRDefault="00F93099">
      <w:pPr>
        <w:spacing w:before="120" w:after="120"/>
        <w:rPr>
          <w:rFonts w:eastAsia="Calibri" w:cs="Calibri"/>
          <w:szCs w:val="22"/>
        </w:rPr>
      </w:pPr>
      <w:r>
        <w:rPr>
          <w:rFonts w:eastAsia="Calibri" w:cs="Calibri"/>
          <w:b/>
          <w:bCs/>
          <w:szCs w:val="22"/>
        </w:rPr>
        <w:t>Land Availability Vista Park III</w:t>
      </w:r>
      <w:r>
        <w:rPr>
          <w:rFonts w:eastAsia="Calibri" w:cs="Calibri"/>
          <w:szCs w:val="22"/>
        </w:rPr>
        <w:t xml:space="preserve"> - The agreement commenced on 11 September 2014 and shall be terminated on 31 October 2032, unless both parties agree to review the agreement period.  In terms of the agreement, the developer will develop approximately 6 529 erven of various categories in Mangaung Extension 256 to 266.  This development will be known as the Vista Park III. </w:t>
      </w:r>
    </w:p>
    <w:p w14:paraId="6789A3E4" w14:textId="77777777" w:rsidR="005A6DBB" w:rsidRDefault="00F93099">
      <w:pPr>
        <w:spacing w:before="120" w:after="120"/>
        <w:rPr>
          <w:rFonts w:eastAsia="Calibri" w:cs="Calibri"/>
          <w:b/>
          <w:bCs/>
          <w:szCs w:val="22"/>
        </w:rPr>
      </w:pPr>
      <w:r>
        <w:rPr>
          <w:rFonts w:eastAsia="Calibri" w:cs="Calibri"/>
          <w:b/>
          <w:bCs/>
          <w:szCs w:val="22"/>
        </w:rPr>
        <w:t>Analysis and Conclusion</w:t>
      </w:r>
    </w:p>
    <w:p w14:paraId="26614F00" w14:textId="77777777" w:rsidR="005A6DBB" w:rsidRDefault="00F93099">
      <w:pPr>
        <w:spacing w:before="120" w:after="120"/>
        <w:rPr>
          <w:rFonts w:eastAsia="Calibri" w:cs="Calibri"/>
          <w:szCs w:val="22"/>
        </w:rPr>
      </w:pPr>
      <w:r>
        <w:rPr>
          <w:rFonts w:eastAsia="Calibri" w:cs="Calibri"/>
          <w:szCs w:val="22"/>
        </w:rPr>
        <w:t xml:space="preserve">Per the consultation process, it was established that the non-payment of water and rental accounts followed the liquidation of the managing company, FRESHCO, and the takeover of administration by the Social Housing Regulatory Authority (SHRA) in 2019.  </w:t>
      </w:r>
    </w:p>
    <w:p w14:paraId="7E207F6C" w14:textId="77777777" w:rsidR="005A6DBB" w:rsidRDefault="00F93099">
      <w:pPr>
        <w:spacing w:before="120" w:after="120"/>
        <w:rPr>
          <w:rFonts w:eastAsia="Calibri" w:cs="Calibri"/>
          <w:szCs w:val="22"/>
        </w:rPr>
      </w:pPr>
      <w:r>
        <w:rPr>
          <w:rFonts w:eastAsia="Calibri" w:cs="Calibri"/>
          <w:szCs w:val="22"/>
        </w:rPr>
        <w:t>As per the group AFS as at 30 June 2022, FRESCO had liabilities of R149.5 million.</w:t>
      </w:r>
    </w:p>
    <w:p w14:paraId="3FC55CED" w14:textId="77777777" w:rsidR="005A6DBB" w:rsidRDefault="00F93099">
      <w:pPr>
        <w:spacing w:before="120" w:after="120"/>
        <w:rPr>
          <w:rFonts w:eastAsia="Calibri" w:cs="Calibri"/>
          <w:szCs w:val="22"/>
        </w:rPr>
      </w:pPr>
      <w:r>
        <w:rPr>
          <w:rFonts w:eastAsia="Calibri" w:cs="Calibri"/>
          <w:szCs w:val="22"/>
        </w:rPr>
        <w:t>Given the Entity’s poor financial performance, placed under administration, and growing liabilities due to mismanagement, it is recommended that entity be dissolved and incorporated into MMM.</w:t>
      </w:r>
    </w:p>
    <w:p w14:paraId="118AD255" w14:textId="77777777" w:rsidR="005A6DBB" w:rsidRDefault="00F93099">
      <w:pPr>
        <w:spacing w:before="120" w:after="120"/>
        <w:rPr>
          <w:rFonts w:eastAsia="Calibri" w:cs="Calibri"/>
          <w:b/>
          <w:bCs/>
          <w:i/>
          <w:iCs/>
          <w:szCs w:val="22"/>
        </w:rPr>
      </w:pPr>
      <w:r>
        <w:rPr>
          <w:rFonts w:eastAsia="Calibri" w:cs="Calibri"/>
          <w:b/>
          <w:bCs/>
          <w:i/>
          <w:iCs/>
          <w:szCs w:val="22"/>
        </w:rPr>
        <w:t>Auditor General Reports:</w:t>
      </w:r>
    </w:p>
    <w:p w14:paraId="15B3BF61"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2021/22 Audit Findings</w:t>
      </w:r>
    </w:p>
    <w:p w14:paraId="2BC19E1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Qualified audit opinion.</w:t>
      </w:r>
    </w:p>
    <w:p w14:paraId="3DD9C3F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Material uncertainty relating to going concern.</w:t>
      </w:r>
    </w:p>
    <w:p w14:paraId="6640F4F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Materially underspent the conditional grants by R 571 039 043.</w:t>
      </w:r>
    </w:p>
    <w:p w14:paraId="65026DB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The performance management system and related controls were inadequate due to the significant internal control deficiencies identified resulting in usefulness and reliability findings on indicators and targets, as required by municipal planning and performance management regulation 7(1).</w:t>
      </w:r>
    </w:p>
    <w:p w14:paraId="2937D1FC" w14:textId="77777777" w:rsidR="005A6DBB" w:rsidRDefault="00F93099">
      <w:pPr>
        <w:spacing w:before="120" w:after="120"/>
        <w:rPr>
          <w:rFonts w:eastAsia="Calibri" w:cs="Calibri"/>
          <w:b/>
          <w:bCs/>
          <w:szCs w:val="22"/>
        </w:rPr>
      </w:pPr>
      <w:r>
        <w:rPr>
          <w:rFonts w:eastAsia="Calibri" w:cs="Calibri"/>
          <w:b/>
          <w:bCs/>
          <w:szCs w:val="22"/>
        </w:rPr>
        <w:t>Employee-related costs:</w:t>
      </w:r>
    </w:p>
    <w:p w14:paraId="5D7F757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Inadequate processes were in place to ensure that a need was established for overtime to be worked or that overtime was actually worked by the municipal officials.  Unable to determine whether any adjustments were necessary to overtime, shift and standby allowances, stated at R182 066 600 in note 43 to the financial statements.</w:t>
      </w:r>
    </w:p>
    <w:p w14:paraId="7DCACDB7" w14:textId="77777777" w:rsidR="005A6DBB" w:rsidRDefault="00F93099">
      <w:pPr>
        <w:spacing w:before="120" w:after="120"/>
        <w:rPr>
          <w:rFonts w:eastAsia="Calibri" w:cs="Calibri"/>
          <w:b/>
          <w:bCs/>
          <w:szCs w:val="22"/>
        </w:rPr>
      </w:pPr>
      <w:r>
        <w:rPr>
          <w:rFonts w:eastAsia="Calibri" w:cs="Calibri"/>
          <w:b/>
          <w:bCs/>
          <w:szCs w:val="22"/>
        </w:rPr>
        <w:t>Contracted services</w:t>
      </w:r>
    </w:p>
    <w:p w14:paraId="6842E41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Adequate supporting documentation could not be provided to confirm that the goods and services were actually received at the correct quantity, quality and price and therefore unable to determine whether any adjustments were necessary to contracted services stated at R508 843 210 in the financial statements.</w:t>
      </w:r>
    </w:p>
    <w:p w14:paraId="6935DF1C" w14:textId="77777777" w:rsidR="005A6DBB" w:rsidRDefault="00F93099">
      <w:pPr>
        <w:spacing w:before="120" w:after="120"/>
        <w:rPr>
          <w:rFonts w:eastAsia="Calibri" w:cs="Calibri"/>
          <w:b/>
          <w:bCs/>
          <w:szCs w:val="22"/>
        </w:rPr>
      </w:pPr>
      <w:r>
        <w:rPr>
          <w:rFonts w:eastAsia="Calibri" w:cs="Calibri"/>
          <w:b/>
          <w:bCs/>
          <w:szCs w:val="22"/>
        </w:rPr>
        <w:t>Payables from exchange transactions</w:t>
      </w:r>
    </w:p>
    <w:p w14:paraId="52BD265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 xml:space="preserve">The municipality did not </w:t>
      </w:r>
      <w:proofErr w:type="spellStart"/>
      <w:r>
        <w:rPr>
          <w:rFonts w:asciiTheme="minorHAnsi" w:eastAsia="Calibri" w:hAnsiTheme="minorHAnsi" w:cstheme="minorHAnsi"/>
          <w:sz w:val="22"/>
          <w:szCs w:val="22"/>
          <w:lang w:val="en-US"/>
        </w:rPr>
        <w:t>recognise</w:t>
      </w:r>
      <w:proofErr w:type="spellEnd"/>
      <w:r>
        <w:rPr>
          <w:rFonts w:asciiTheme="minorHAnsi" w:eastAsia="Calibri" w:hAnsiTheme="minorHAnsi" w:cstheme="minorHAnsi"/>
          <w:sz w:val="22"/>
          <w:szCs w:val="22"/>
          <w:lang w:val="en-US"/>
        </w:rPr>
        <w:t xml:space="preserve"> all trade payables that met the definition of a liability in accordance with GRAP 1, Presentation of financial statements., therefore note 19 to the financial statements was understated and general expenditure and contracted services were understated by R55 748 293.</w:t>
      </w:r>
    </w:p>
    <w:p w14:paraId="3D73AF8B" w14:textId="77777777" w:rsidR="005A6DBB" w:rsidRDefault="00F93099">
      <w:pPr>
        <w:spacing w:before="120" w:after="120"/>
        <w:rPr>
          <w:rFonts w:eastAsia="Calibri" w:cs="Calibri"/>
          <w:b/>
          <w:bCs/>
          <w:szCs w:val="22"/>
        </w:rPr>
      </w:pPr>
      <w:r>
        <w:rPr>
          <w:rFonts w:eastAsia="Calibri" w:cs="Calibri"/>
          <w:b/>
          <w:bCs/>
          <w:szCs w:val="22"/>
        </w:rPr>
        <w:t>Revenue from exchange transactions</w:t>
      </w:r>
    </w:p>
    <w:p w14:paraId="1A22313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Cs w:val="22"/>
          <w:lang w:val="en-US"/>
        </w:rPr>
      </w:pPr>
      <w:r>
        <w:rPr>
          <w:rFonts w:asciiTheme="minorHAnsi" w:eastAsia="Calibri" w:hAnsiTheme="minorHAnsi" w:cstheme="minorHAnsi"/>
          <w:sz w:val="22"/>
          <w:szCs w:val="22"/>
          <w:lang w:val="en-US"/>
        </w:rPr>
        <w:t xml:space="preserve">Unable to obtain sufficient appropriate audit evidence for revenue from exchange transactions due to the municipality not having adequate systems in place to </w:t>
      </w:r>
      <w:proofErr w:type="spellStart"/>
      <w:r>
        <w:rPr>
          <w:rFonts w:asciiTheme="minorHAnsi" w:eastAsia="Calibri" w:hAnsiTheme="minorHAnsi" w:cstheme="minorHAnsi"/>
          <w:sz w:val="22"/>
          <w:szCs w:val="22"/>
          <w:lang w:val="en-US"/>
        </w:rPr>
        <w:t>recognise</w:t>
      </w:r>
      <w:proofErr w:type="spellEnd"/>
      <w:r>
        <w:rPr>
          <w:rFonts w:asciiTheme="minorHAnsi" w:eastAsia="Calibri" w:hAnsiTheme="minorHAnsi" w:cstheme="minorHAnsi"/>
          <w:sz w:val="22"/>
          <w:szCs w:val="22"/>
          <w:lang w:val="en-US"/>
        </w:rPr>
        <w:t xml:space="preserve"> revenue from the rendering of services. Consequently, I was unable to determine whether any adjustments were necessary to revenue from exchange transactions, stated at R2 218 632 410 in the financial statements.</w:t>
      </w:r>
    </w:p>
    <w:p w14:paraId="2CC74DB8"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Consequence management</w:t>
      </w:r>
    </w:p>
    <w:p w14:paraId="74FD68E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Unauthorised expenditure incurred by the municipality was not investigated to determine whether any person is liable for the expenditure, as required by section 32(2)(a) of the MFMA.</w:t>
      </w:r>
    </w:p>
    <w:p w14:paraId="38AE56B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Irregular expenditure incurred by the municipality was not investigated to determine whether any person is liable for the expenditure, as required by section 32(2)(b) of the MFMA.</w:t>
      </w:r>
    </w:p>
    <w:p w14:paraId="13405FA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Fruitless and wasteful expenditure incurred by the municipality was not investigated to determine whether any person is liable for the expenditure, as required by section 32(2)(b) of the MFMA.</w:t>
      </w:r>
    </w:p>
    <w:p w14:paraId="27A2489C"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2020/21 Audit Findings</w:t>
      </w:r>
    </w:p>
    <w:p w14:paraId="17C85254"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Unqualified audit opinion.</w:t>
      </w:r>
    </w:p>
    <w:p w14:paraId="7B0B2931"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Material uncertainty relating to going concern.</w:t>
      </w:r>
    </w:p>
    <w:p w14:paraId="76384458" w14:textId="77777777" w:rsidR="005A6DBB" w:rsidRDefault="00F93099">
      <w:pPr>
        <w:spacing w:before="120" w:after="120"/>
        <w:rPr>
          <w:rFonts w:eastAsia="Calibri" w:cs="Calibri"/>
          <w:b/>
          <w:bCs/>
          <w:szCs w:val="22"/>
        </w:rPr>
      </w:pPr>
      <w:r>
        <w:rPr>
          <w:rFonts w:eastAsia="Calibri" w:cs="Calibri"/>
          <w:b/>
          <w:bCs/>
          <w:szCs w:val="22"/>
        </w:rPr>
        <w:t>Material losses</w:t>
      </w:r>
    </w:p>
    <w:p w14:paraId="67A2D46F"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Material water distribution losses of R337 156 445 (2020: R221 045 754) were incurred mainly due to burst water pipes, leakages, and unmetered sites.</w:t>
      </w:r>
    </w:p>
    <w:p w14:paraId="6CBC98E3"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Material uncertainty relating to claims against the group</w:t>
      </w:r>
    </w:p>
    <w:p w14:paraId="1A423241"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The group is the defendant in various claims. The group is opposing these claims.  The ultimate outcome of these matters could not be determined and no provision for any liabilities that may result was made in the consolidated financial statements.</w:t>
      </w:r>
    </w:p>
    <w:p w14:paraId="788EAFC4"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Procurement and contract management</w:t>
      </w:r>
    </w:p>
    <w:p w14:paraId="14F9EF56"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Sufficient appropriate audit evidence could not be obtained that the performance of contractors or providers was monitored on a monthly basis as required by section 116(2) of the MFMA.</w:t>
      </w:r>
    </w:p>
    <w:p w14:paraId="535F76E8" w14:textId="77777777" w:rsidR="005A6DBB" w:rsidRDefault="00F93099">
      <w:pPr>
        <w:spacing w:before="120" w:after="120"/>
        <w:rPr>
          <w:rFonts w:asciiTheme="minorHAnsi" w:eastAsia="Calibri" w:hAnsiTheme="minorHAnsi" w:cstheme="minorHAnsi"/>
          <w:b/>
          <w:bCs/>
          <w:szCs w:val="22"/>
          <w:lang w:val="en-US"/>
        </w:rPr>
      </w:pPr>
      <w:r>
        <w:rPr>
          <w:rFonts w:asciiTheme="minorHAnsi" w:eastAsia="Calibri" w:hAnsiTheme="minorHAnsi" w:cstheme="minorHAnsi"/>
          <w:b/>
          <w:bCs/>
          <w:szCs w:val="22"/>
          <w:lang w:val="en-US"/>
        </w:rPr>
        <w:t>Consequence management</w:t>
      </w:r>
    </w:p>
    <w:p w14:paraId="106172C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Unauthorised expenditure incurred by the municipality was not investigated to determine whether any person is liable for the expenditure, as required by section 32(2)(a) of the MFMA.</w:t>
      </w:r>
    </w:p>
    <w:p w14:paraId="057C331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Irregular expenditure incurred by the municipality was not investigated to determine whether any person is liable for the expenditure, as required by section 32(2)(b) of the MFMA.</w:t>
      </w:r>
    </w:p>
    <w:p w14:paraId="08C12FE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Fruitless and wasteful expenditure incurred by the municipality was not investigated to determine whether any person is liable for the expenditure, as required by section 32(2)(b) of the MFMA.</w:t>
      </w:r>
    </w:p>
    <w:p w14:paraId="7656B6DB"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The strategies going forward:</w:t>
      </w:r>
    </w:p>
    <w:p w14:paraId="77B1F3E1"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The MM / CFO should enforce the implementation of the audit action plan and get written commitment from HODs;</w:t>
      </w:r>
    </w:p>
    <w:p w14:paraId="00E5F68E"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Investigate all reported allegations of financial misconduct against the officials and ensure consequence management is implemented;</w:t>
      </w:r>
    </w:p>
    <w:p w14:paraId="113043C9"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Internal Audit to provide risk ranking of Audit findings and timelines for implementation to be reported bi-weekly and coordinate implementation of the remedial plan;</w:t>
      </w:r>
    </w:p>
    <w:p w14:paraId="03A53138"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Conduct a skills audit to determine the knowledge gaps; and</w:t>
      </w:r>
    </w:p>
    <w:p w14:paraId="735DDCFD" w14:textId="77777777" w:rsidR="005A6DBB" w:rsidRDefault="00F93099">
      <w:pPr>
        <w:spacing w:before="120" w:after="120"/>
        <w:rPr>
          <w:rFonts w:asciiTheme="minorHAnsi" w:eastAsia="Calibri" w:hAnsiTheme="minorHAnsi" w:cstheme="minorHAnsi"/>
          <w:szCs w:val="22"/>
          <w:lang w:val="en-US"/>
        </w:rPr>
      </w:pPr>
      <w:r>
        <w:rPr>
          <w:rFonts w:asciiTheme="minorHAnsi" w:eastAsia="Calibri" w:hAnsiTheme="minorHAnsi" w:cstheme="minorHAnsi"/>
          <w:szCs w:val="22"/>
          <w:lang w:val="en-US"/>
        </w:rPr>
        <w:t>Enroll key staff in appropriate training programs to build adequate capacity.</w:t>
      </w:r>
    </w:p>
    <w:p w14:paraId="72F3BB79" w14:textId="77777777" w:rsidR="005A6DBB" w:rsidRDefault="00F93099">
      <w:pPr>
        <w:pStyle w:val="Heading2"/>
      </w:pPr>
      <w:bookmarkStart w:id="49" w:name="_Toc132880238"/>
      <w:bookmarkStart w:id="50" w:name="_Toc132788219"/>
      <w:bookmarkStart w:id="51" w:name="_Toc137732226"/>
      <w:bookmarkEnd w:id="49"/>
      <w:bookmarkEnd w:id="50"/>
      <w:r>
        <w:t>SERVICE DELIVERY</w:t>
      </w:r>
      <w:bookmarkEnd w:id="51"/>
      <w:r>
        <w:t xml:space="preserve"> </w:t>
      </w:r>
    </w:p>
    <w:p w14:paraId="0B6C0639" w14:textId="77777777" w:rsidR="005A6DBB" w:rsidRDefault="00F93099">
      <w:pPr>
        <w:spacing w:before="120" w:after="120"/>
        <w:rPr>
          <w:lang w:val="en-US"/>
        </w:rPr>
      </w:pPr>
      <w:r>
        <w:rPr>
          <w:lang w:val="en-US"/>
        </w:rPr>
        <w:t xml:space="preserve">The Municipality is facing financial challenges that are impacting its ability to effectively manage and maintain its critical infrastructure assets and is unable to provide adequate service delivery and maintain its infrastructure.  </w:t>
      </w:r>
    </w:p>
    <w:p w14:paraId="4A377686" w14:textId="77777777" w:rsidR="005A6DBB" w:rsidRDefault="00F93099">
      <w:pPr>
        <w:spacing w:before="120" w:after="120"/>
        <w:rPr>
          <w:lang w:val="en-US"/>
        </w:rPr>
      </w:pPr>
      <w:r>
        <w:rPr>
          <w:lang w:val="en-US"/>
        </w:rPr>
        <w:t>Roads, Sanitation and Solid waste have high backlogs that need to be addressed and Sanitation is the only service where MMM have households below the minimum service levels.  MMM has implemented water restrictions due to its inability to meet the demand and lack of maintenance on their bulk infrastructure.</w:t>
      </w:r>
    </w:p>
    <w:p w14:paraId="4CCAC6E6" w14:textId="77777777" w:rsidR="005A6DBB" w:rsidRDefault="00F93099">
      <w:pPr>
        <w:spacing w:before="120" w:after="120"/>
        <w:rPr>
          <w:lang w:val="en-US"/>
        </w:rPr>
      </w:pPr>
      <w:r>
        <w:rPr>
          <w:lang w:val="en-US"/>
        </w:rPr>
        <w:t>The analysis of the financials shows that the largest contributor to the operating income is Electricity. However, when determining the adequacy of the operating surplus to fund the rest of MMM, it was found to be a deficit.</w:t>
      </w:r>
    </w:p>
    <w:p w14:paraId="1A3D45B1" w14:textId="77777777" w:rsidR="005A6DBB" w:rsidRDefault="00F93099">
      <w:pPr>
        <w:spacing w:before="120" w:after="120"/>
        <w:rPr>
          <w:lang w:val="en-US"/>
        </w:rPr>
      </w:pPr>
      <w:r>
        <w:rPr>
          <w:lang w:val="en-US"/>
        </w:rPr>
        <w:t>Poor project management has resulted in the IDP target not been met resulting in reduce Grant funding availability to complete projects, but this is not the only contributor, political interference, lack of skills and systems and corruption also contribute to the lack of delivery.</w:t>
      </w:r>
    </w:p>
    <w:p w14:paraId="3BA74C80" w14:textId="77777777" w:rsidR="005A6DBB" w:rsidRDefault="00F93099">
      <w:pPr>
        <w:spacing w:before="120" w:after="120"/>
        <w:rPr>
          <w:lang w:val="en-US"/>
        </w:rPr>
      </w:pPr>
      <w:r>
        <w:rPr>
          <w:lang w:val="en-US"/>
        </w:rPr>
        <w:t>It is important to note that service delivery challenges are not confined to only financial aspects, other factors that impact service delivery such as the organisations structures and delegations, asset security, infrastructure masterplans and asset care plans, political will, etc.  These factors impact service delivery but cannot be directly correlated to financial impact.</w:t>
      </w:r>
    </w:p>
    <w:p w14:paraId="1C2EA2FE"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rPr>
      </w:pPr>
      <w:bookmarkStart w:id="52" w:name="_Toc132788224"/>
      <w:bookmarkStart w:id="53" w:name="_Toc132788221"/>
      <w:bookmarkStart w:id="54" w:name="_Toc132788223"/>
      <w:bookmarkStart w:id="55" w:name="_Toc132788222"/>
      <w:bookmarkStart w:id="56" w:name="_Toc132880244"/>
      <w:bookmarkStart w:id="57" w:name="_Toc132880242"/>
      <w:bookmarkStart w:id="58" w:name="_Toc132880243"/>
      <w:bookmarkStart w:id="59" w:name="_Toc132788225"/>
      <w:bookmarkStart w:id="60" w:name="_Toc132880245"/>
      <w:bookmarkStart w:id="61" w:name="_Toc132880240"/>
      <w:bookmarkStart w:id="62" w:name="_Toc132788227"/>
      <w:bookmarkStart w:id="63" w:name="_Toc132880241"/>
      <w:bookmarkStart w:id="64" w:name="_Toc132788226"/>
      <w:bookmarkStart w:id="65" w:name="_Toc132880246"/>
      <w:bookmarkStart w:id="66" w:name="_Toc132362448"/>
      <w:bookmarkStart w:id="67" w:name="_Toc137732227"/>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cs="Arial"/>
          <w:b/>
        </w:rPr>
        <w:t>BACKLOGS AND SERVICE LEVELS</w:t>
      </w:r>
      <w:bookmarkEnd w:id="66"/>
      <w:bookmarkEnd w:id="67"/>
    </w:p>
    <w:p w14:paraId="442FB19B" w14:textId="77777777" w:rsidR="005A6DBB" w:rsidRDefault="00F93099">
      <w:pPr>
        <w:spacing w:before="120" w:after="120"/>
        <w:rPr>
          <w:lang w:val="en-US"/>
        </w:rPr>
      </w:pPr>
      <w:r>
        <w:rPr>
          <w:lang w:val="en-US"/>
        </w:rPr>
        <w:t>The IDP 2022/2027 reports the backlogs per service as:</w:t>
      </w:r>
    </w:p>
    <w:tbl>
      <w:tblPr>
        <w:tblW w:w="9192" w:type="dxa"/>
        <w:tblLook w:val="04A0" w:firstRow="1" w:lastRow="0" w:firstColumn="1" w:lastColumn="0" w:noHBand="0" w:noVBand="1"/>
      </w:tblPr>
      <w:tblGrid>
        <w:gridCol w:w="1266"/>
        <w:gridCol w:w="1954"/>
        <w:gridCol w:w="2055"/>
        <w:gridCol w:w="2055"/>
        <w:gridCol w:w="1862"/>
      </w:tblGrid>
      <w:tr w:rsidR="005A6DBB" w14:paraId="6878F955" w14:textId="77777777">
        <w:trPr>
          <w:trHeight w:val="300"/>
          <w:tblHeader/>
        </w:trPr>
        <w:tc>
          <w:tcPr>
            <w:tcW w:w="1266" w:type="dxa"/>
            <w:vMerge w:val="restart"/>
            <w:tcBorders>
              <w:top w:val="single" w:sz="8" w:space="0" w:color="FFFFFF"/>
              <w:left w:val="single" w:sz="8" w:space="0" w:color="FFFFFF"/>
              <w:bottom w:val="single" w:sz="8" w:space="0" w:color="FFFFFF"/>
              <w:right w:val="single" w:sz="8" w:space="0" w:color="FFFFFF"/>
            </w:tcBorders>
            <w:shd w:val="clear" w:color="000000" w:fill="002060"/>
            <w:noWrap/>
            <w:vAlign w:val="center"/>
          </w:tcPr>
          <w:p w14:paraId="74BD5E26"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Service</w:t>
            </w:r>
          </w:p>
        </w:tc>
        <w:tc>
          <w:tcPr>
            <w:tcW w:w="1954" w:type="dxa"/>
            <w:tcBorders>
              <w:top w:val="single" w:sz="8" w:space="0" w:color="FFFFFF"/>
              <w:left w:val="nil"/>
              <w:bottom w:val="nil"/>
              <w:right w:val="single" w:sz="8" w:space="0" w:color="FFFFFF"/>
            </w:tcBorders>
            <w:shd w:val="clear" w:color="000000" w:fill="002060"/>
            <w:vAlign w:val="center"/>
          </w:tcPr>
          <w:p w14:paraId="1FD1C5A7"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Total</w:t>
            </w:r>
          </w:p>
        </w:tc>
        <w:tc>
          <w:tcPr>
            <w:tcW w:w="2055" w:type="dxa"/>
            <w:tcBorders>
              <w:top w:val="single" w:sz="8" w:space="0" w:color="FFFFFF"/>
              <w:left w:val="nil"/>
              <w:bottom w:val="nil"/>
              <w:right w:val="single" w:sz="8" w:space="0" w:color="FFFFFF"/>
            </w:tcBorders>
            <w:shd w:val="clear" w:color="000000" w:fill="002060"/>
            <w:vAlign w:val="center"/>
          </w:tcPr>
          <w:p w14:paraId="4D98563C"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Access</w:t>
            </w:r>
          </w:p>
        </w:tc>
        <w:tc>
          <w:tcPr>
            <w:tcW w:w="2055" w:type="dxa"/>
            <w:tcBorders>
              <w:top w:val="single" w:sz="8" w:space="0" w:color="FFFFFF"/>
              <w:left w:val="nil"/>
              <w:bottom w:val="nil"/>
              <w:right w:val="single" w:sz="8" w:space="0" w:color="FFFFFF"/>
            </w:tcBorders>
            <w:shd w:val="clear" w:color="000000" w:fill="002060"/>
            <w:vAlign w:val="center"/>
          </w:tcPr>
          <w:p w14:paraId="683108F9"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Backlog</w:t>
            </w:r>
          </w:p>
        </w:tc>
        <w:tc>
          <w:tcPr>
            <w:tcW w:w="1862" w:type="dxa"/>
            <w:tcBorders>
              <w:top w:val="single" w:sz="8" w:space="0" w:color="FFFFFF"/>
              <w:left w:val="nil"/>
              <w:bottom w:val="nil"/>
              <w:right w:val="single" w:sz="8" w:space="0" w:color="FFFFFF"/>
            </w:tcBorders>
            <w:shd w:val="clear" w:color="000000" w:fill="002060"/>
            <w:vAlign w:val="center"/>
          </w:tcPr>
          <w:p w14:paraId="3C3215BE"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Backlog % of Total</w:t>
            </w:r>
          </w:p>
        </w:tc>
      </w:tr>
      <w:tr w:rsidR="005A6DBB" w14:paraId="0C82341B" w14:textId="77777777">
        <w:trPr>
          <w:trHeight w:val="570"/>
          <w:tblHeader/>
        </w:trPr>
        <w:tc>
          <w:tcPr>
            <w:tcW w:w="1266" w:type="dxa"/>
            <w:vMerge/>
            <w:tcBorders>
              <w:top w:val="single" w:sz="8" w:space="0" w:color="FFFFFF"/>
              <w:left w:val="single" w:sz="8" w:space="0" w:color="FFFFFF"/>
              <w:bottom w:val="single" w:sz="8" w:space="0" w:color="FFFFFF"/>
              <w:right w:val="single" w:sz="8" w:space="0" w:color="FFFFFF"/>
            </w:tcBorders>
            <w:vAlign w:val="center"/>
          </w:tcPr>
          <w:p w14:paraId="04020D85" w14:textId="77777777" w:rsidR="005A6DBB" w:rsidRDefault="005A6DBB">
            <w:pPr>
              <w:spacing w:before="120" w:after="120" w:line="240" w:lineRule="auto"/>
              <w:jc w:val="left"/>
              <w:rPr>
                <w:rFonts w:cs="Calibri"/>
                <w:b/>
                <w:bCs/>
                <w:color w:val="FFFFFF"/>
                <w:sz w:val="20"/>
                <w:szCs w:val="20"/>
                <w:lang w:val="en-US"/>
              </w:rPr>
            </w:pPr>
          </w:p>
        </w:tc>
        <w:tc>
          <w:tcPr>
            <w:tcW w:w="1954" w:type="dxa"/>
            <w:tcBorders>
              <w:top w:val="nil"/>
              <w:left w:val="nil"/>
              <w:bottom w:val="single" w:sz="8" w:space="0" w:color="FFFFFF"/>
              <w:right w:val="single" w:sz="8" w:space="0" w:color="FFFFFF"/>
            </w:tcBorders>
            <w:shd w:val="clear" w:color="000000" w:fill="002060"/>
            <w:vAlign w:val="center"/>
          </w:tcPr>
          <w:p w14:paraId="5DCD6069"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w:t>
            </w:r>
            <w:r>
              <w:rPr>
                <w:rFonts w:cs="Calibri"/>
                <w:color w:val="FFFFFF"/>
                <w:sz w:val="20"/>
                <w:szCs w:val="20"/>
              </w:rPr>
              <w:t>Households unless otherwise indicated)</w:t>
            </w:r>
          </w:p>
        </w:tc>
        <w:tc>
          <w:tcPr>
            <w:tcW w:w="2055" w:type="dxa"/>
            <w:tcBorders>
              <w:top w:val="nil"/>
              <w:left w:val="nil"/>
              <w:bottom w:val="single" w:sz="8" w:space="0" w:color="FFFFFF"/>
              <w:right w:val="single" w:sz="8" w:space="0" w:color="FFFFFF"/>
            </w:tcBorders>
            <w:shd w:val="clear" w:color="000000" w:fill="002060"/>
            <w:vAlign w:val="center"/>
          </w:tcPr>
          <w:p w14:paraId="2AF885B8"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w:t>
            </w:r>
            <w:r>
              <w:rPr>
                <w:rFonts w:cs="Calibri"/>
                <w:color w:val="FFFFFF"/>
                <w:sz w:val="20"/>
                <w:szCs w:val="20"/>
              </w:rPr>
              <w:t>Households unless otherwise indicated)</w:t>
            </w:r>
          </w:p>
        </w:tc>
        <w:tc>
          <w:tcPr>
            <w:tcW w:w="2055" w:type="dxa"/>
            <w:tcBorders>
              <w:top w:val="nil"/>
              <w:left w:val="nil"/>
              <w:bottom w:val="single" w:sz="8" w:space="0" w:color="FFFFFF"/>
              <w:right w:val="single" w:sz="8" w:space="0" w:color="FFFFFF"/>
            </w:tcBorders>
            <w:shd w:val="clear" w:color="000000" w:fill="002060"/>
            <w:vAlign w:val="center"/>
          </w:tcPr>
          <w:p w14:paraId="1B2EBB10"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w:t>
            </w:r>
            <w:r>
              <w:rPr>
                <w:rFonts w:cs="Calibri"/>
                <w:color w:val="FFFFFF"/>
                <w:sz w:val="20"/>
                <w:szCs w:val="20"/>
              </w:rPr>
              <w:t>Households unless otherwise indicated)</w:t>
            </w:r>
          </w:p>
        </w:tc>
        <w:tc>
          <w:tcPr>
            <w:tcW w:w="1862" w:type="dxa"/>
            <w:tcBorders>
              <w:top w:val="nil"/>
              <w:left w:val="nil"/>
              <w:bottom w:val="single" w:sz="8" w:space="0" w:color="FFFFFF"/>
              <w:right w:val="single" w:sz="8" w:space="0" w:color="FFFFFF"/>
            </w:tcBorders>
            <w:shd w:val="clear" w:color="000000" w:fill="002060"/>
            <w:vAlign w:val="center"/>
          </w:tcPr>
          <w:p w14:paraId="6ACB18C5"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lang w:val="en-US"/>
              </w:rPr>
              <w:t> </w:t>
            </w:r>
          </w:p>
        </w:tc>
      </w:tr>
      <w:tr w:rsidR="005A6DBB" w14:paraId="5C0472C7" w14:textId="7777777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tcPr>
          <w:p w14:paraId="7A15B111"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Water </w:t>
            </w:r>
          </w:p>
        </w:tc>
        <w:tc>
          <w:tcPr>
            <w:tcW w:w="1954" w:type="dxa"/>
            <w:tcBorders>
              <w:top w:val="nil"/>
              <w:left w:val="nil"/>
              <w:bottom w:val="single" w:sz="8" w:space="0" w:color="FFFFFF"/>
              <w:right w:val="single" w:sz="8" w:space="0" w:color="FFFFFF"/>
            </w:tcBorders>
            <w:shd w:val="clear" w:color="000000" w:fill="D4E1ED"/>
            <w:noWrap/>
            <w:vAlign w:val="center"/>
          </w:tcPr>
          <w:p w14:paraId="2D36E166" w14:textId="77777777" w:rsidR="005A6DBB" w:rsidRDefault="00F93099">
            <w:pPr>
              <w:spacing w:before="120" w:after="120" w:line="240" w:lineRule="auto"/>
              <w:jc w:val="center"/>
              <w:rPr>
                <w:rFonts w:cs="Calibri"/>
                <w:color w:val="000000"/>
                <w:sz w:val="20"/>
                <w:szCs w:val="20"/>
                <w:lang w:val="en-US"/>
              </w:rPr>
            </w:pPr>
            <w:r>
              <w:rPr>
                <w:rFonts w:cs="Calibri"/>
                <w:sz w:val="20"/>
                <w:szCs w:val="20"/>
              </w:rPr>
              <w:t>265 414</w:t>
            </w:r>
          </w:p>
        </w:tc>
        <w:tc>
          <w:tcPr>
            <w:tcW w:w="2055" w:type="dxa"/>
            <w:tcBorders>
              <w:top w:val="nil"/>
              <w:left w:val="nil"/>
              <w:bottom w:val="single" w:sz="8" w:space="0" w:color="FFFFFF"/>
              <w:right w:val="single" w:sz="8" w:space="0" w:color="FFFFFF"/>
            </w:tcBorders>
            <w:shd w:val="clear" w:color="000000" w:fill="D4E1ED"/>
            <w:noWrap/>
            <w:vAlign w:val="center"/>
          </w:tcPr>
          <w:p w14:paraId="2D71C239" w14:textId="77777777" w:rsidR="005A6DBB" w:rsidRDefault="00F93099">
            <w:pPr>
              <w:spacing w:before="120" w:after="120" w:line="240" w:lineRule="auto"/>
              <w:jc w:val="center"/>
              <w:rPr>
                <w:rFonts w:cs="Calibri"/>
                <w:color w:val="000000"/>
                <w:sz w:val="20"/>
                <w:szCs w:val="20"/>
                <w:lang w:val="en-US"/>
              </w:rPr>
            </w:pPr>
            <w:r>
              <w:rPr>
                <w:rFonts w:cs="Calibri"/>
                <w:sz w:val="20"/>
                <w:szCs w:val="20"/>
              </w:rPr>
              <w:t>247 859</w:t>
            </w:r>
          </w:p>
        </w:tc>
        <w:tc>
          <w:tcPr>
            <w:tcW w:w="2055" w:type="dxa"/>
            <w:tcBorders>
              <w:top w:val="nil"/>
              <w:left w:val="nil"/>
              <w:bottom w:val="single" w:sz="8" w:space="0" w:color="FFFFFF"/>
              <w:right w:val="single" w:sz="8" w:space="0" w:color="FFFFFF"/>
            </w:tcBorders>
            <w:shd w:val="clear" w:color="000000" w:fill="D4E1ED"/>
            <w:noWrap/>
            <w:vAlign w:val="center"/>
          </w:tcPr>
          <w:p w14:paraId="0034D915" w14:textId="77777777" w:rsidR="005A6DBB" w:rsidRDefault="00F93099">
            <w:pPr>
              <w:spacing w:before="120" w:after="120" w:line="240" w:lineRule="auto"/>
              <w:jc w:val="center"/>
              <w:rPr>
                <w:rFonts w:cs="Calibri"/>
                <w:color w:val="000000"/>
                <w:sz w:val="20"/>
                <w:szCs w:val="20"/>
                <w:lang w:val="en-US"/>
              </w:rPr>
            </w:pPr>
            <w:r>
              <w:rPr>
                <w:rFonts w:cs="Calibri"/>
                <w:sz w:val="20"/>
                <w:szCs w:val="20"/>
              </w:rPr>
              <w:t>17 555</w:t>
            </w:r>
          </w:p>
        </w:tc>
        <w:tc>
          <w:tcPr>
            <w:tcW w:w="1862" w:type="dxa"/>
            <w:tcBorders>
              <w:top w:val="nil"/>
              <w:left w:val="nil"/>
              <w:bottom w:val="single" w:sz="8" w:space="0" w:color="FFFFFF"/>
              <w:right w:val="single" w:sz="8" w:space="0" w:color="FFFFFF"/>
            </w:tcBorders>
            <w:shd w:val="clear" w:color="000000" w:fill="D4E1ED"/>
            <w:noWrap/>
            <w:vAlign w:val="center"/>
          </w:tcPr>
          <w:p w14:paraId="06789BFA" w14:textId="77777777" w:rsidR="005A6DBB" w:rsidRDefault="00F93099">
            <w:pPr>
              <w:spacing w:before="120" w:after="120" w:line="240" w:lineRule="auto"/>
              <w:jc w:val="center"/>
              <w:rPr>
                <w:rFonts w:cs="Calibri"/>
                <w:color w:val="000000"/>
                <w:sz w:val="20"/>
                <w:szCs w:val="20"/>
                <w:lang w:val="en-US"/>
              </w:rPr>
            </w:pPr>
            <w:r>
              <w:rPr>
                <w:rFonts w:cs="Calibri"/>
                <w:sz w:val="20"/>
                <w:szCs w:val="20"/>
              </w:rPr>
              <w:t>6.61%</w:t>
            </w:r>
          </w:p>
        </w:tc>
      </w:tr>
      <w:tr w:rsidR="005A6DBB" w14:paraId="2D44B2F2" w14:textId="77777777">
        <w:trPr>
          <w:trHeight w:val="300"/>
        </w:trPr>
        <w:tc>
          <w:tcPr>
            <w:tcW w:w="1266" w:type="dxa"/>
            <w:tcBorders>
              <w:top w:val="nil"/>
              <w:left w:val="single" w:sz="8" w:space="0" w:color="FFFFFF"/>
              <w:bottom w:val="nil"/>
              <w:right w:val="single" w:sz="8" w:space="0" w:color="FFFFFF"/>
            </w:tcBorders>
            <w:shd w:val="clear" w:color="000000" w:fill="BED3E4"/>
            <w:noWrap/>
            <w:vAlign w:val="center"/>
          </w:tcPr>
          <w:p w14:paraId="31B423E8"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Sanitation </w:t>
            </w:r>
          </w:p>
        </w:tc>
        <w:tc>
          <w:tcPr>
            <w:tcW w:w="1954" w:type="dxa"/>
            <w:tcBorders>
              <w:top w:val="nil"/>
              <w:left w:val="nil"/>
              <w:bottom w:val="nil"/>
              <w:right w:val="single" w:sz="8" w:space="0" w:color="FFFFFF"/>
            </w:tcBorders>
            <w:shd w:val="clear" w:color="000000" w:fill="BED3E4"/>
            <w:noWrap/>
            <w:vAlign w:val="center"/>
          </w:tcPr>
          <w:p w14:paraId="66D24648" w14:textId="77777777" w:rsidR="005A6DBB" w:rsidRDefault="00F93099">
            <w:pPr>
              <w:spacing w:before="120" w:after="120" w:line="240" w:lineRule="auto"/>
              <w:jc w:val="center"/>
              <w:rPr>
                <w:rFonts w:cs="Calibri"/>
                <w:color w:val="000000"/>
                <w:sz w:val="20"/>
                <w:szCs w:val="20"/>
                <w:lang w:val="en-US"/>
              </w:rPr>
            </w:pPr>
            <w:r>
              <w:rPr>
                <w:rFonts w:cs="Calibri"/>
                <w:sz w:val="20"/>
                <w:szCs w:val="20"/>
              </w:rPr>
              <w:t>265 414</w:t>
            </w:r>
          </w:p>
        </w:tc>
        <w:tc>
          <w:tcPr>
            <w:tcW w:w="2055" w:type="dxa"/>
            <w:tcBorders>
              <w:top w:val="nil"/>
              <w:left w:val="nil"/>
              <w:bottom w:val="nil"/>
              <w:right w:val="single" w:sz="8" w:space="0" w:color="FFFFFF"/>
            </w:tcBorders>
            <w:shd w:val="clear" w:color="000000" w:fill="BED3E4"/>
            <w:noWrap/>
            <w:vAlign w:val="center"/>
          </w:tcPr>
          <w:p w14:paraId="2BDF318B" w14:textId="77777777" w:rsidR="005A6DBB" w:rsidRDefault="00F93099">
            <w:pPr>
              <w:spacing w:before="120" w:after="120" w:line="240" w:lineRule="auto"/>
              <w:jc w:val="center"/>
              <w:rPr>
                <w:rFonts w:cs="Calibri"/>
                <w:color w:val="000000"/>
                <w:sz w:val="20"/>
                <w:szCs w:val="20"/>
                <w:lang w:val="en-US"/>
              </w:rPr>
            </w:pPr>
            <w:r>
              <w:rPr>
                <w:rFonts w:cs="Calibri"/>
                <w:sz w:val="20"/>
                <w:szCs w:val="20"/>
              </w:rPr>
              <w:t>210 586</w:t>
            </w:r>
          </w:p>
        </w:tc>
        <w:tc>
          <w:tcPr>
            <w:tcW w:w="2055" w:type="dxa"/>
            <w:tcBorders>
              <w:top w:val="nil"/>
              <w:left w:val="nil"/>
              <w:bottom w:val="nil"/>
              <w:right w:val="single" w:sz="8" w:space="0" w:color="FFFFFF"/>
            </w:tcBorders>
            <w:shd w:val="clear" w:color="000000" w:fill="BED3E4"/>
            <w:noWrap/>
            <w:vAlign w:val="center"/>
          </w:tcPr>
          <w:p w14:paraId="2C7C5EDD" w14:textId="77777777" w:rsidR="005A6DBB" w:rsidRDefault="00F93099">
            <w:pPr>
              <w:spacing w:before="120" w:after="120" w:line="240" w:lineRule="auto"/>
              <w:jc w:val="center"/>
              <w:rPr>
                <w:rFonts w:cs="Calibri"/>
                <w:color w:val="000000"/>
                <w:sz w:val="20"/>
                <w:szCs w:val="20"/>
                <w:lang w:val="en-US"/>
              </w:rPr>
            </w:pPr>
            <w:r>
              <w:rPr>
                <w:rFonts w:cs="Calibri"/>
                <w:sz w:val="20"/>
                <w:szCs w:val="20"/>
              </w:rPr>
              <w:t>54 828</w:t>
            </w:r>
          </w:p>
        </w:tc>
        <w:tc>
          <w:tcPr>
            <w:tcW w:w="1862" w:type="dxa"/>
            <w:tcBorders>
              <w:top w:val="nil"/>
              <w:left w:val="nil"/>
              <w:bottom w:val="nil"/>
              <w:right w:val="single" w:sz="8" w:space="0" w:color="FFFFFF"/>
            </w:tcBorders>
            <w:shd w:val="clear" w:color="000000" w:fill="BED3E4"/>
            <w:noWrap/>
            <w:vAlign w:val="center"/>
          </w:tcPr>
          <w:p w14:paraId="3A50150F" w14:textId="77777777" w:rsidR="005A6DBB" w:rsidRDefault="00F93099">
            <w:pPr>
              <w:spacing w:before="120" w:after="120" w:line="240" w:lineRule="auto"/>
              <w:jc w:val="center"/>
              <w:rPr>
                <w:rFonts w:cs="Calibri"/>
                <w:color w:val="000000"/>
                <w:sz w:val="20"/>
                <w:szCs w:val="20"/>
                <w:lang w:val="en-US"/>
              </w:rPr>
            </w:pPr>
            <w:r>
              <w:rPr>
                <w:rFonts w:cs="Calibri"/>
                <w:sz w:val="20"/>
                <w:szCs w:val="20"/>
              </w:rPr>
              <w:t>20.66%</w:t>
            </w:r>
          </w:p>
        </w:tc>
      </w:tr>
      <w:tr w:rsidR="005A6DBB" w14:paraId="1165CA57" w14:textId="7777777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tcPr>
          <w:p w14:paraId="3F91C73B"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Electricity </w:t>
            </w:r>
          </w:p>
        </w:tc>
        <w:tc>
          <w:tcPr>
            <w:tcW w:w="1954" w:type="dxa"/>
            <w:tcBorders>
              <w:top w:val="nil"/>
              <w:left w:val="nil"/>
              <w:bottom w:val="single" w:sz="8" w:space="0" w:color="FFFFFF"/>
              <w:right w:val="single" w:sz="8" w:space="0" w:color="FFFFFF"/>
            </w:tcBorders>
            <w:shd w:val="clear" w:color="000000" w:fill="D4E1ED"/>
            <w:noWrap/>
            <w:vAlign w:val="center"/>
          </w:tcPr>
          <w:p w14:paraId="5694E9B0" w14:textId="77777777" w:rsidR="005A6DBB" w:rsidRDefault="00F93099">
            <w:pPr>
              <w:spacing w:before="120" w:after="120" w:line="240" w:lineRule="auto"/>
              <w:jc w:val="center"/>
              <w:rPr>
                <w:rFonts w:cs="Calibri"/>
                <w:color w:val="000000"/>
                <w:sz w:val="20"/>
                <w:szCs w:val="20"/>
                <w:lang w:val="en-US"/>
              </w:rPr>
            </w:pPr>
            <w:r>
              <w:rPr>
                <w:rFonts w:cs="Calibri"/>
                <w:sz w:val="20"/>
                <w:szCs w:val="20"/>
              </w:rPr>
              <w:t>265 414</w:t>
            </w:r>
          </w:p>
        </w:tc>
        <w:tc>
          <w:tcPr>
            <w:tcW w:w="2055" w:type="dxa"/>
            <w:tcBorders>
              <w:top w:val="nil"/>
              <w:left w:val="nil"/>
              <w:bottom w:val="single" w:sz="8" w:space="0" w:color="FFFFFF"/>
              <w:right w:val="single" w:sz="8" w:space="0" w:color="FFFFFF"/>
            </w:tcBorders>
            <w:shd w:val="clear" w:color="000000" w:fill="D4E1ED"/>
            <w:noWrap/>
            <w:vAlign w:val="center"/>
          </w:tcPr>
          <w:p w14:paraId="29D5FB2D" w14:textId="77777777" w:rsidR="005A6DBB" w:rsidRDefault="00F93099">
            <w:pPr>
              <w:spacing w:before="120" w:after="120" w:line="240" w:lineRule="auto"/>
              <w:jc w:val="center"/>
              <w:rPr>
                <w:rFonts w:cs="Calibri"/>
                <w:color w:val="000000"/>
                <w:sz w:val="20"/>
                <w:szCs w:val="20"/>
                <w:lang w:val="en-US"/>
              </w:rPr>
            </w:pPr>
            <w:r>
              <w:rPr>
                <w:rFonts w:cs="Calibri"/>
                <w:sz w:val="20"/>
                <w:szCs w:val="20"/>
              </w:rPr>
              <w:t>254 525</w:t>
            </w:r>
          </w:p>
        </w:tc>
        <w:tc>
          <w:tcPr>
            <w:tcW w:w="2055" w:type="dxa"/>
            <w:tcBorders>
              <w:top w:val="nil"/>
              <w:left w:val="nil"/>
              <w:bottom w:val="single" w:sz="8" w:space="0" w:color="FFFFFF"/>
              <w:right w:val="single" w:sz="8" w:space="0" w:color="FFFFFF"/>
            </w:tcBorders>
            <w:shd w:val="clear" w:color="000000" w:fill="D4E1ED"/>
            <w:noWrap/>
            <w:vAlign w:val="center"/>
          </w:tcPr>
          <w:p w14:paraId="1111B8F4" w14:textId="77777777" w:rsidR="005A6DBB" w:rsidRDefault="00F93099">
            <w:pPr>
              <w:spacing w:before="120" w:after="120" w:line="240" w:lineRule="auto"/>
              <w:jc w:val="center"/>
              <w:rPr>
                <w:rFonts w:cs="Calibri"/>
                <w:color w:val="000000"/>
                <w:sz w:val="20"/>
                <w:szCs w:val="20"/>
                <w:lang w:val="en-US"/>
              </w:rPr>
            </w:pPr>
            <w:r>
              <w:rPr>
                <w:rFonts w:cs="Calibri"/>
                <w:sz w:val="20"/>
                <w:szCs w:val="20"/>
              </w:rPr>
              <w:t>10 890</w:t>
            </w:r>
          </w:p>
        </w:tc>
        <w:tc>
          <w:tcPr>
            <w:tcW w:w="1862" w:type="dxa"/>
            <w:tcBorders>
              <w:top w:val="nil"/>
              <w:left w:val="nil"/>
              <w:bottom w:val="single" w:sz="8" w:space="0" w:color="FFFFFF"/>
              <w:right w:val="single" w:sz="8" w:space="0" w:color="FFFFFF"/>
            </w:tcBorders>
            <w:shd w:val="clear" w:color="000000" w:fill="D4E1ED"/>
            <w:noWrap/>
            <w:vAlign w:val="center"/>
          </w:tcPr>
          <w:p w14:paraId="6FF126AE"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4.10%</w:t>
            </w:r>
          </w:p>
        </w:tc>
      </w:tr>
      <w:tr w:rsidR="005A6DBB" w14:paraId="6D6D3EEE" w14:textId="77777777">
        <w:trPr>
          <w:trHeight w:val="300"/>
        </w:trPr>
        <w:tc>
          <w:tcPr>
            <w:tcW w:w="1266" w:type="dxa"/>
            <w:tcBorders>
              <w:top w:val="nil"/>
              <w:left w:val="single" w:sz="8" w:space="0" w:color="FFFFFF"/>
              <w:bottom w:val="nil"/>
              <w:right w:val="single" w:sz="8" w:space="0" w:color="FFFFFF"/>
            </w:tcBorders>
            <w:shd w:val="clear" w:color="000000" w:fill="BED3E4"/>
            <w:noWrap/>
            <w:vAlign w:val="center"/>
          </w:tcPr>
          <w:p w14:paraId="09101917"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Solid Waste </w:t>
            </w:r>
          </w:p>
        </w:tc>
        <w:tc>
          <w:tcPr>
            <w:tcW w:w="1954" w:type="dxa"/>
            <w:tcBorders>
              <w:top w:val="nil"/>
              <w:left w:val="nil"/>
              <w:bottom w:val="nil"/>
              <w:right w:val="single" w:sz="8" w:space="0" w:color="FFFFFF"/>
            </w:tcBorders>
            <w:shd w:val="clear" w:color="000000" w:fill="BED3E4"/>
            <w:noWrap/>
            <w:vAlign w:val="center"/>
          </w:tcPr>
          <w:p w14:paraId="499F44A6" w14:textId="77777777" w:rsidR="005A6DBB" w:rsidRDefault="00F93099">
            <w:pPr>
              <w:spacing w:before="120" w:after="120" w:line="240" w:lineRule="auto"/>
              <w:jc w:val="center"/>
              <w:rPr>
                <w:rFonts w:cs="Calibri"/>
                <w:color w:val="000000"/>
                <w:sz w:val="20"/>
                <w:szCs w:val="20"/>
                <w:lang w:val="en-US"/>
              </w:rPr>
            </w:pPr>
            <w:r>
              <w:rPr>
                <w:rFonts w:cs="Calibri"/>
                <w:sz w:val="20"/>
                <w:szCs w:val="20"/>
              </w:rPr>
              <w:t>265 340</w:t>
            </w:r>
          </w:p>
        </w:tc>
        <w:tc>
          <w:tcPr>
            <w:tcW w:w="2055" w:type="dxa"/>
            <w:tcBorders>
              <w:top w:val="nil"/>
              <w:left w:val="nil"/>
              <w:bottom w:val="nil"/>
              <w:right w:val="single" w:sz="8" w:space="0" w:color="FFFFFF"/>
            </w:tcBorders>
            <w:shd w:val="clear" w:color="000000" w:fill="BED3E4"/>
            <w:noWrap/>
            <w:vAlign w:val="center"/>
          </w:tcPr>
          <w:p w14:paraId="7E195E1B" w14:textId="77777777" w:rsidR="005A6DBB" w:rsidRDefault="00F93099">
            <w:pPr>
              <w:spacing w:before="120" w:after="120" w:line="240" w:lineRule="auto"/>
              <w:jc w:val="center"/>
              <w:rPr>
                <w:rFonts w:cs="Calibri"/>
                <w:color w:val="000000"/>
                <w:sz w:val="20"/>
                <w:szCs w:val="20"/>
                <w:lang w:val="en-US"/>
              </w:rPr>
            </w:pPr>
            <w:r>
              <w:rPr>
                <w:rFonts w:cs="Calibri"/>
                <w:sz w:val="20"/>
                <w:szCs w:val="20"/>
              </w:rPr>
              <w:t>217 771</w:t>
            </w:r>
          </w:p>
        </w:tc>
        <w:tc>
          <w:tcPr>
            <w:tcW w:w="2055" w:type="dxa"/>
            <w:tcBorders>
              <w:top w:val="nil"/>
              <w:left w:val="nil"/>
              <w:bottom w:val="nil"/>
              <w:right w:val="single" w:sz="8" w:space="0" w:color="FFFFFF"/>
            </w:tcBorders>
            <w:shd w:val="clear" w:color="000000" w:fill="BED3E4"/>
            <w:noWrap/>
            <w:vAlign w:val="center"/>
          </w:tcPr>
          <w:p w14:paraId="2E3C2ECA" w14:textId="77777777" w:rsidR="005A6DBB" w:rsidRDefault="00F93099">
            <w:pPr>
              <w:spacing w:before="120" w:after="120" w:line="240" w:lineRule="auto"/>
              <w:jc w:val="center"/>
              <w:rPr>
                <w:rFonts w:cs="Calibri"/>
                <w:color w:val="000000"/>
                <w:sz w:val="20"/>
                <w:szCs w:val="20"/>
                <w:lang w:val="en-US"/>
              </w:rPr>
            </w:pPr>
            <w:r>
              <w:rPr>
                <w:rFonts w:cs="Calibri"/>
                <w:sz w:val="20"/>
                <w:szCs w:val="20"/>
              </w:rPr>
              <w:t>47 569</w:t>
            </w:r>
          </w:p>
        </w:tc>
        <w:tc>
          <w:tcPr>
            <w:tcW w:w="1862" w:type="dxa"/>
            <w:tcBorders>
              <w:top w:val="nil"/>
              <w:left w:val="nil"/>
              <w:bottom w:val="nil"/>
              <w:right w:val="single" w:sz="8" w:space="0" w:color="FFFFFF"/>
            </w:tcBorders>
            <w:shd w:val="clear" w:color="000000" w:fill="BED3E4"/>
            <w:noWrap/>
            <w:vAlign w:val="center"/>
          </w:tcPr>
          <w:p w14:paraId="55DBD452"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17.93%</w:t>
            </w:r>
          </w:p>
        </w:tc>
      </w:tr>
      <w:tr w:rsidR="005A6DBB" w14:paraId="7B2CDE3E" w14:textId="77777777">
        <w:trPr>
          <w:trHeight w:val="315"/>
        </w:trPr>
        <w:tc>
          <w:tcPr>
            <w:tcW w:w="1266" w:type="dxa"/>
            <w:tcBorders>
              <w:top w:val="nil"/>
              <w:left w:val="single" w:sz="8" w:space="0" w:color="FFFFFF"/>
              <w:bottom w:val="single" w:sz="8" w:space="0" w:color="FFFFFF"/>
              <w:right w:val="single" w:sz="8" w:space="0" w:color="FFFFFF"/>
            </w:tcBorders>
            <w:shd w:val="clear" w:color="000000" w:fill="D4E1ED"/>
            <w:noWrap/>
            <w:vAlign w:val="center"/>
          </w:tcPr>
          <w:p w14:paraId="131414F1"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Roads </w:t>
            </w:r>
          </w:p>
        </w:tc>
        <w:tc>
          <w:tcPr>
            <w:tcW w:w="1954" w:type="dxa"/>
            <w:tcBorders>
              <w:top w:val="nil"/>
              <w:left w:val="nil"/>
              <w:bottom w:val="single" w:sz="8" w:space="0" w:color="FFFFFF"/>
              <w:right w:val="single" w:sz="8" w:space="0" w:color="FFFFFF"/>
            </w:tcBorders>
            <w:shd w:val="clear" w:color="000000" w:fill="D4E1ED"/>
            <w:noWrap/>
            <w:vAlign w:val="center"/>
          </w:tcPr>
          <w:p w14:paraId="04742B5C" w14:textId="77777777" w:rsidR="005A6DBB" w:rsidRDefault="00F93099">
            <w:pPr>
              <w:spacing w:before="120" w:after="120" w:line="240" w:lineRule="auto"/>
              <w:jc w:val="center"/>
              <w:rPr>
                <w:rFonts w:cs="Calibri"/>
                <w:color w:val="000000"/>
                <w:sz w:val="20"/>
                <w:szCs w:val="20"/>
                <w:lang w:val="en-US"/>
              </w:rPr>
            </w:pPr>
            <w:r>
              <w:rPr>
                <w:rFonts w:cs="Calibri"/>
                <w:sz w:val="20"/>
                <w:szCs w:val="20"/>
              </w:rPr>
              <w:t>3 831 km</w:t>
            </w:r>
          </w:p>
        </w:tc>
        <w:tc>
          <w:tcPr>
            <w:tcW w:w="2055" w:type="dxa"/>
            <w:tcBorders>
              <w:top w:val="nil"/>
              <w:left w:val="nil"/>
              <w:bottom w:val="single" w:sz="8" w:space="0" w:color="FFFFFF"/>
              <w:right w:val="single" w:sz="8" w:space="0" w:color="FFFFFF"/>
            </w:tcBorders>
            <w:shd w:val="clear" w:color="000000" w:fill="D4E1ED"/>
            <w:noWrap/>
            <w:vAlign w:val="center"/>
          </w:tcPr>
          <w:p w14:paraId="77B018AC" w14:textId="77777777" w:rsidR="005A6DBB" w:rsidRDefault="00F93099">
            <w:pPr>
              <w:spacing w:before="120" w:after="120" w:line="240" w:lineRule="auto"/>
              <w:jc w:val="center"/>
              <w:rPr>
                <w:rFonts w:cs="Calibri"/>
                <w:color w:val="000000"/>
                <w:sz w:val="20"/>
                <w:szCs w:val="20"/>
                <w:lang w:val="en-US"/>
              </w:rPr>
            </w:pPr>
            <w:r>
              <w:rPr>
                <w:rFonts w:cs="Calibri"/>
                <w:sz w:val="20"/>
                <w:szCs w:val="20"/>
              </w:rPr>
              <w:t xml:space="preserve">39.13 km </w:t>
            </w:r>
          </w:p>
        </w:tc>
        <w:tc>
          <w:tcPr>
            <w:tcW w:w="2055" w:type="dxa"/>
            <w:tcBorders>
              <w:top w:val="nil"/>
              <w:left w:val="nil"/>
              <w:bottom w:val="single" w:sz="8" w:space="0" w:color="FFFFFF"/>
              <w:right w:val="single" w:sz="8" w:space="0" w:color="FFFFFF"/>
            </w:tcBorders>
            <w:shd w:val="clear" w:color="000000" w:fill="D4E1ED"/>
            <w:noWrap/>
            <w:vAlign w:val="center"/>
          </w:tcPr>
          <w:p w14:paraId="39AF7DCA" w14:textId="77777777" w:rsidR="005A6DBB" w:rsidRDefault="00F93099">
            <w:pPr>
              <w:spacing w:before="120" w:after="120" w:line="240" w:lineRule="auto"/>
              <w:jc w:val="center"/>
              <w:rPr>
                <w:rFonts w:cs="Calibri"/>
                <w:color w:val="000000"/>
                <w:sz w:val="20"/>
                <w:szCs w:val="20"/>
                <w:lang w:val="en-US"/>
              </w:rPr>
            </w:pPr>
            <w:r>
              <w:rPr>
                <w:rFonts w:cs="Calibri"/>
                <w:sz w:val="20"/>
                <w:szCs w:val="20"/>
              </w:rPr>
              <w:t>2 174.87 km</w:t>
            </w:r>
          </w:p>
        </w:tc>
        <w:tc>
          <w:tcPr>
            <w:tcW w:w="1862" w:type="dxa"/>
            <w:tcBorders>
              <w:top w:val="nil"/>
              <w:left w:val="nil"/>
              <w:bottom w:val="single" w:sz="8" w:space="0" w:color="FFFFFF"/>
              <w:right w:val="single" w:sz="8" w:space="0" w:color="FFFFFF"/>
            </w:tcBorders>
            <w:shd w:val="clear" w:color="000000" w:fill="D4E1ED"/>
            <w:noWrap/>
            <w:vAlign w:val="center"/>
          </w:tcPr>
          <w:p w14:paraId="1C79793D"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56.77%</w:t>
            </w:r>
          </w:p>
        </w:tc>
      </w:tr>
      <w:tr w:rsidR="005A6DBB" w14:paraId="3F12D720" w14:textId="77777777">
        <w:trPr>
          <w:trHeight w:val="315"/>
        </w:trPr>
        <w:tc>
          <w:tcPr>
            <w:tcW w:w="1266" w:type="dxa"/>
            <w:tcBorders>
              <w:top w:val="nil"/>
              <w:left w:val="single" w:sz="8" w:space="0" w:color="FFFFFF"/>
              <w:bottom w:val="single" w:sz="8" w:space="0" w:color="FFFFFF"/>
              <w:right w:val="single" w:sz="8" w:space="0" w:color="FFFFFF"/>
            </w:tcBorders>
            <w:shd w:val="clear" w:color="000000" w:fill="BED3E4"/>
            <w:noWrap/>
            <w:vAlign w:val="center"/>
          </w:tcPr>
          <w:p w14:paraId="0356DC80" w14:textId="77777777" w:rsidR="005A6DBB" w:rsidRDefault="00F93099">
            <w:pPr>
              <w:spacing w:before="120" w:after="120" w:line="240" w:lineRule="auto"/>
              <w:rPr>
                <w:rFonts w:cs="Calibri"/>
                <w:color w:val="000000"/>
                <w:sz w:val="20"/>
                <w:szCs w:val="20"/>
                <w:lang w:val="en-US"/>
              </w:rPr>
            </w:pPr>
            <w:r>
              <w:rPr>
                <w:rFonts w:cs="Calibri"/>
                <w:sz w:val="20"/>
                <w:szCs w:val="20"/>
              </w:rPr>
              <w:t xml:space="preserve">Stormwater </w:t>
            </w:r>
          </w:p>
        </w:tc>
        <w:tc>
          <w:tcPr>
            <w:tcW w:w="1954" w:type="dxa"/>
            <w:tcBorders>
              <w:top w:val="nil"/>
              <w:left w:val="nil"/>
              <w:bottom w:val="single" w:sz="8" w:space="0" w:color="FFFFFF"/>
              <w:right w:val="single" w:sz="8" w:space="0" w:color="FFFFFF"/>
            </w:tcBorders>
            <w:shd w:val="clear" w:color="000000" w:fill="BED3E4"/>
            <w:noWrap/>
            <w:vAlign w:val="center"/>
          </w:tcPr>
          <w:p w14:paraId="3655C43C" w14:textId="77777777" w:rsidR="005A6DBB" w:rsidRDefault="00F93099">
            <w:pPr>
              <w:spacing w:before="120" w:after="120" w:line="240" w:lineRule="auto"/>
              <w:jc w:val="center"/>
              <w:rPr>
                <w:rFonts w:cs="Calibri"/>
                <w:color w:val="000000"/>
                <w:sz w:val="20"/>
                <w:szCs w:val="20"/>
                <w:lang w:val="en-US"/>
              </w:rPr>
            </w:pPr>
            <w:r>
              <w:rPr>
                <w:rFonts w:cs="Calibri"/>
                <w:sz w:val="20"/>
                <w:szCs w:val="20"/>
              </w:rPr>
              <w:t xml:space="preserve">69 km </w:t>
            </w:r>
          </w:p>
        </w:tc>
        <w:tc>
          <w:tcPr>
            <w:tcW w:w="2055" w:type="dxa"/>
            <w:tcBorders>
              <w:top w:val="nil"/>
              <w:left w:val="nil"/>
              <w:bottom w:val="single" w:sz="8" w:space="0" w:color="FFFFFF"/>
              <w:right w:val="single" w:sz="8" w:space="0" w:color="FFFFFF"/>
            </w:tcBorders>
            <w:shd w:val="clear" w:color="000000" w:fill="BED3E4"/>
            <w:noWrap/>
            <w:vAlign w:val="center"/>
          </w:tcPr>
          <w:p w14:paraId="1356124F" w14:textId="77777777" w:rsidR="005A6DBB" w:rsidRDefault="00F93099">
            <w:pPr>
              <w:spacing w:before="120" w:after="120" w:line="240" w:lineRule="auto"/>
              <w:jc w:val="center"/>
              <w:rPr>
                <w:rFonts w:cs="Calibri"/>
                <w:color w:val="000000"/>
                <w:sz w:val="20"/>
                <w:szCs w:val="20"/>
                <w:lang w:val="en-US"/>
              </w:rPr>
            </w:pPr>
            <w:r>
              <w:rPr>
                <w:rFonts w:cs="Calibri"/>
                <w:sz w:val="20"/>
                <w:szCs w:val="20"/>
              </w:rPr>
              <w:t xml:space="preserve">69 km </w:t>
            </w:r>
          </w:p>
        </w:tc>
        <w:tc>
          <w:tcPr>
            <w:tcW w:w="3917" w:type="dxa"/>
            <w:gridSpan w:val="2"/>
            <w:tcBorders>
              <w:top w:val="single" w:sz="8" w:space="0" w:color="FFFFFF"/>
              <w:left w:val="nil"/>
              <w:bottom w:val="single" w:sz="8" w:space="0" w:color="FFFFFF"/>
              <w:right w:val="single" w:sz="8" w:space="0" w:color="FFFFFF"/>
            </w:tcBorders>
            <w:shd w:val="clear" w:color="000000" w:fill="BED3E4"/>
            <w:noWrap/>
            <w:vAlign w:val="center"/>
          </w:tcPr>
          <w:p w14:paraId="68091260" w14:textId="77777777" w:rsidR="005A6DBB" w:rsidRDefault="00F93099">
            <w:pPr>
              <w:keepNext/>
              <w:spacing w:before="120" w:after="120" w:line="240" w:lineRule="auto"/>
              <w:jc w:val="left"/>
              <w:rPr>
                <w:rFonts w:cs="Calibri"/>
                <w:color w:val="000000"/>
                <w:sz w:val="20"/>
                <w:szCs w:val="20"/>
                <w:lang w:val="en-US"/>
              </w:rPr>
            </w:pPr>
            <w:r>
              <w:rPr>
                <w:rFonts w:cs="Calibri"/>
                <w:sz w:val="20"/>
                <w:szCs w:val="20"/>
              </w:rPr>
              <w:t>Stormwater is a function of Roads</w:t>
            </w:r>
          </w:p>
        </w:tc>
      </w:tr>
    </w:tbl>
    <w:p w14:paraId="50D3AFD4" w14:textId="0549E195" w:rsidR="005A6DBB" w:rsidRDefault="00F93099">
      <w:pPr>
        <w:pStyle w:val="Caption"/>
      </w:pPr>
      <w:r>
        <w:t xml:space="preserve">Table </w:t>
      </w:r>
      <w:r>
        <w:fldChar w:fldCharType="begin"/>
      </w:r>
      <w:r>
        <w:instrText xml:space="preserve"> SEQ Table \* ARABIC </w:instrText>
      </w:r>
      <w:r>
        <w:fldChar w:fldCharType="separate"/>
      </w:r>
      <w:r w:rsidR="00A564BE">
        <w:rPr>
          <w:noProof/>
        </w:rPr>
        <w:t>14</w:t>
      </w:r>
      <w:r>
        <w:fldChar w:fldCharType="end"/>
      </w:r>
      <w:r>
        <w:t xml:space="preserve"> - Service Delivery Backlogs</w:t>
      </w:r>
    </w:p>
    <w:p w14:paraId="640D439C" w14:textId="77777777" w:rsidR="005A6DBB" w:rsidRDefault="00F93099">
      <w:pPr>
        <w:spacing w:before="120" w:after="120"/>
        <w:rPr>
          <w:lang w:val="en-US"/>
        </w:rPr>
      </w:pPr>
      <w:r>
        <w:rPr>
          <w:lang w:val="en-US"/>
        </w:rPr>
        <w:t>Roads are reported to have the largest backlog (56.77%) due to lack of maintenance and resurfacing of existing roads.  MIG grant funding should be applied for and projects should be managed to ensure deliverable in terms of delivery dates and costs are adhered to as poor project management and a dysfunctional SCM division was responsible for unspent grant funding moving from R36 829 318 in 2020/21 to R 248 788 169 in 2021/22, an increase of R 211 958 851 or 675.5%.  However, community protests and political interference has also hampered the delivery of services</w:t>
      </w:r>
    </w:p>
    <w:p w14:paraId="6BE7B194" w14:textId="77777777" w:rsidR="005A6DBB" w:rsidRDefault="00F93099">
      <w:pPr>
        <w:spacing w:before="120" w:after="120"/>
        <w:rPr>
          <w:lang w:val="en-US"/>
        </w:rPr>
      </w:pPr>
      <w:r>
        <w:rPr>
          <w:lang w:val="en-US"/>
        </w:rPr>
        <w:t>Sanitation follows with a backlog of 20.66% and experience the same problems as above.</w:t>
      </w:r>
    </w:p>
    <w:p w14:paraId="329468E9" w14:textId="77777777" w:rsidR="005A6DBB" w:rsidRDefault="00F93099">
      <w:pPr>
        <w:spacing w:before="120" w:after="120"/>
        <w:rPr>
          <w:lang w:val="en-US"/>
        </w:rPr>
      </w:pPr>
      <w:r>
        <w:rPr>
          <w:lang w:val="en-US"/>
        </w:rPr>
        <w:t>Solid Waste is reported at 17.93% however it is not a case of not been able to meet the demand as there is enough airspace at landfill sites for the next few years as reported in the IDP.  Solid waste backlogs are related to the poor condition of Roads and their impact on the condition of the fleet to dispense the service.  In addition, high theft rates and vandalism impacts the current fleet and plant placing a reliance on external service providers to render the service.  It can be speculated that these could be related.</w:t>
      </w:r>
    </w:p>
    <w:p w14:paraId="02898D16" w14:textId="77777777" w:rsidR="005A6DBB" w:rsidRDefault="00F93099">
      <w:pPr>
        <w:spacing w:before="120" w:after="120"/>
        <w:rPr>
          <w:lang w:val="en-US"/>
        </w:rPr>
      </w:pPr>
      <w:r>
        <w:rPr>
          <w:lang w:val="en-US"/>
        </w:rPr>
        <w:t>The table below was extracted from the A10 reports for 2021/22 and reflects the household counts above and below the minimum service levels per service:</w:t>
      </w:r>
    </w:p>
    <w:tbl>
      <w:tblPr>
        <w:tblW w:w="5000" w:type="pct"/>
        <w:tblLook w:val="04A0" w:firstRow="1" w:lastRow="0" w:firstColumn="1" w:lastColumn="0" w:noHBand="0" w:noVBand="1"/>
      </w:tblPr>
      <w:tblGrid>
        <w:gridCol w:w="1356"/>
        <w:gridCol w:w="1550"/>
        <w:gridCol w:w="1550"/>
        <w:gridCol w:w="1636"/>
        <w:gridCol w:w="1550"/>
        <w:gridCol w:w="1550"/>
      </w:tblGrid>
      <w:tr w:rsidR="005A6DBB" w14:paraId="66F2A53E" w14:textId="77777777">
        <w:trPr>
          <w:trHeight w:val="1800"/>
          <w:tblHeader/>
        </w:trPr>
        <w:tc>
          <w:tcPr>
            <w:tcW w:w="737" w:type="pct"/>
            <w:tcBorders>
              <w:top w:val="single" w:sz="8" w:space="0" w:color="FFFFFF"/>
              <w:left w:val="single" w:sz="8" w:space="0" w:color="FFFFFF"/>
              <w:bottom w:val="single" w:sz="8" w:space="0" w:color="FFFFFF"/>
              <w:right w:val="single" w:sz="8" w:space="0" w:color="FFFFFF"/>
            </w:tcBorders>
            <w:shd w:val="clear" w:color="000000" w:fill="002060"/>
            <w:noWrap/>
            <w:vAlign w:val="center"/>
          </w:tcPr>
          <w:p w14:paraId="71F641AE"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Service</w:t>
            </w:r>
          </w:p>
        </w:tc>
        <w:tc>
          <w:tcPr>
            <w:tcW w:w="843" w:type="pct"/>
            <w:tcBorders>
              <w:top w:val="single" w:sz="8" w:space="0" w:color="FFFFFF"/>
              <w:left w:val="nil"/>
              <w:bottom w:val="single" w:sz="8" w:space="0" w:color="FFFFFF"/>
              <w:right w:val="single" w:sz="8" w:space="0" w:color="FFFFFF"/>
            </w:tcBorders>
            <w:shd w:val="clear" w:color="000000" w:fill="002060"/>
            <w:vAlign w:val="center"/>
          </w:tcPr>
          <w:p w14:paraId="0F42B55D"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Total Households</w:t>
            </w:r>
          </w:p>
        </w:tc>
        <w:tc>
          <w:tcPr>
            <w:tcW w:w="843" w:type="pct"/>
            <w:tcBorders>
              <w:top w:val="single" w:sz="8" w:space="0" w:color="FFFFFF"/>
              <w:left w:val="nil"/>
              <w:bottom w:val="single" w:sz="8" w:space="0" w:color="FFFFFF"/>
              <w:right w:val="single" w:sz="8" w:space="0" w:color="FFFFFF"/>
            </w:tcBorders>
            <w:shd w:val="clear" w:color="000000" w:fill="002060"/>
            <w:vAlign w:val="center"/>
          </w:tcPr>
          <w:p w14:paraId="0D3472A7"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Households at and Above a Minimum Service Level</w:t>
            </w:r>
          </w:p>
        </w:tc>
        <w:tc>
          <w:tcPr>
            <w:tcW w:w="890" w:type="pct"/>
            <w:tcBorders>
              <w:top w:val="single" w:sz="8" w:space="0" w:color="FFFFFF"/>
              <w:left w:val="nil"/>
              <w:bottom w:val="single" w:sz="8" w:space="0" w:color="FFFFFF"/>
              <w:right w:val="single" w:sz="8" w:space="0" w:color="FFFFFF"/>
            </w:tcBorders>
            <w:shd w:val="clear" w:color="000000" w:fill="002060"/>
            <w:vAlign w:val="center"/>
          </w:tcPr>
          <w:p w14:paraId="301F172F"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Households at and Above a Minimum Service Level</w:t>
            </w:r>
          </w:p>
        </w:tc>
        <w:tc>
          <w:tcPr>
            <w:tcW w:w="843" w:type="pct"/>
            <w:tcBorders>
              <w:top w:val="single" w:sz="8" w:space="0" w:color="FFFFFF"/>
              <w:left w:val="nil"/>
              <w:bottom w:val="single" w:sz="8" w:space="0" w:color="FFFFFF"/>
              <w:right w:val="single" w:sz="8" w:space="0" w:color="FFFFFF"/>
            </w:tcBorders>
            <w:shd w:val="clear" w:color="000000" w:fill="002060"/>
            <w:vAlign w:val="center"/>
          </w:tcPr>
          <w:p w14:paraId="33C9277D"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Households Below Minimum Service Level</w:t>
            </w:r>
          </w:p>
        </w:tc>
        <w:tc>
          <w:tcPr>
            <w:tcW w:w="843" w:type="pct"/>
            <w:tcBorders>
              <w:top w:val="single" w:sz="8" w:space="0" w:color="FFFFFF"/>
              <w:left w:val="nil"/>
              <w:bottom w:val="single" w:sz="8" w:space="0" w:color="FFFFFF"/>
              <w:right w:val="single" w:sz="8" w:space="0" w:color="FFFFFF"/>
            </w:tcBorders>
            <w:shd w:val="clear" w:color="000000" w:fill="002060"/>
            <w:vAlign w:val="center"/>
          </w:tcPr>
          <w:p w14:paraId="46FCAFD7" w14:textId="77777777" w:rsidR="005A6DBB" w:rsidRDefault="00F93099">
            <w:pPr>
              <w:spacing w:before="120" w:after="120" w:line="240" w:lineRule="auto"/>
              <w:jc w:val="center"/>
              <w:rPr>
                <w:rFonts w:cs="Calibri"/>
                <w:b/>
                <w:bCs/>
                <w:color w:val="FFFFFF"/>
                <w:sz w:val="20"/>
                <w:szCs w:val="20"/>
                <w:lang w:val="en-US"/>
              </w:rPr>
            </w:pPr>
            <w:r>
              <w:rPr>
                <w:rFonts w:cs="Calibri"/>
                <w:b/>
                <w:bCs/>
                <w:color w:val="FFFFFF"/>
                <w:sz w:val="20"/>
                <w:szCs w:val="20"/>
              </w:rPr>
              <w:t>% Households Below Minimum Service Level</w:t>
            </w:r>
          </w:p>
        </w:tc>
      </w:tr>
      <w:tr w:rsidR="005A6DBB" w14:paraId="13FD16F4" w14:textId="77777777">
        <w:trPr>
          <w:trHeight w:val="315"/>
        </w:trPr>
        <w:tc>
          <w:tcPr>
            <w:tcW w:w="737" w:type="pct"/>
            <w:tcBorders>
              <w:top w:val="nil"/>
              <w:left w:val="single" w:sz="8" w:space="0" w:color="FFFFFF"/>
              <w:bottom w:val="single" w:sz="8" w:space="0" w:color="FFFFFF"/>
              <w:right w:val="single" w:sz="8" w:space="0" w:color="FFFFFF"/>
            </w:tcBorders>
            <w:shd w:val="clear" w:color="000000" w:fill="D4E1ED"/>
            <w:noWrap/>
            <w:vAlign w:val="center"/>
          </w:tcPr>
          <w:p w14:paraId="05BA2913" w14:textId="77777777" w:rsidR="005A6DBB" w:rsidRDefault="00F93099">
            <w:pPr>
              <w:spacing w:before="120" w:after="120" w:line="240" w:lineRule="auto"/>
              <w:rPr>
                <w:rFonts w:cs="Calibri"/>
                <w:color w:val="000000"/>
                <w:sz w:val="20"/>
                <w:szCs w:val="20"/>
                <w:lang w:val="en-US"/>
              </w:rPr>
            </w:pPr>
            <w:r>
              <w:rPr>
                <w:rFonts w:cs="Calibri"/>
                <w:color w:val="000000"/>
                <w:sz w:val="20"/>
                <w:szCs w:val="20"/>
              </w:rPr>
              <w:t>Water</w:t>
            </w:r>
          </w:p>
        </w:tc>
        <w:tc>
          <w:tcPr>
            <w:tcW w:w="843" w:type="pct"/>
            <w:tcBorders>
              <w:top w:val="nil"/>
              <w:left w:val="nil"/>
              <w:bottom w:val="single" w:sz="8" w:space="0" w:color="FFFFFF"/>
              <w:right w:val="single" w:sz="8" w:space="0" w:color="FFFFFF"/>
            </w:tcBorders>
            <w:shd w:val="clear" w:color="000000" w:fill="D4E1ED"/>
            <w:noWrap/>
            <w:vAlign w:val="center"/>
          </w:tcPr>
          <w:p w14:paraId="51C66072"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48 916 971</w:t>
            </w:r>
          </w:p>
        </w:tc>
        <w:tc>
          <w:tcPr>
            <w:tcW w:w="843" w:type="pct"/>
            <w:tcBorders>
              <w:top w:val="nil"/>
              <w:left w:val="nil"/>
              <w:bottom w:val="single" w:sz="8" w:space="0" w:color="FFFFFF"/>
              <w:right w:val="single" w:sz="8" w:space="0" w:color="FFFFFF"/>
            </w:tcBorders>
            <w:shd w:val="clear" w:color="000000" w:fill="D4E1ED"/>
            <w:noWrap/>
            <w:vAlign w:val="center"/>
          </w:tcPr>
          <w:p w14:paraId="426EC523"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48 916 971</w:t>
            </w:r>
          </w:p>
        </w:tc>
        <w:tc>
          <w:tcPr>
            <w:tcW w:w="890" w:type="pct"/>
            <w:tcBorders>
              <w:top w:val="nil"/>
              <w:left w:val="nil"/>
              <w:bottom w:val="single" w:sz="8" w:space="0" w:color="FFFFFF"/>
              <w:right w:val="single" w:sz="8" w:space="0" w:color="FFFFFF"/>
            </w:tcBorders>
            <w:shd w:val="clear" w:color="000000" w:fill="D4E1ED"/>
            <w:noWrap/>
            <w:vAlign w:val="center"/>
          </w:tcPr>
          <w:p w14:paraId="2E8DB3BF"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100%</w:t>
            </w:r>
          </w:p>
        </w:tc>
        <w:tc>
          <w:tcPr>
            <w:tcW w:w="843" w:type="pct"/>
            <w:tcBorders>
              <w:top w:val="nil"/>
              <w:left w:val="nil"/>
              <w:bottom w:val="single" w:sz="8" w:space="0" w:color="FFFFFF"/>
              <w:right w:val="single" w:sz="8" w:space="0" w:color="FFFFFF"/>
            </w:tcBorders>
            <w:shd w:val="clear" w:color="000000" w:fill="D4E1ED"/>
            <w:noWrap/>
            <w:vAlign w:val="center"/>
          </w:tcPr>
          <w:p w14:paraId="0D356CAC"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0</w:t>
            </w:r>
          </w:p>
        </w:tc>
        <w:tc>
          <w:tcPr>
            <w:tcW w:w="843" w:type="pct"/>
            <w:tcBorders>
              <w:top w:val="nil"/>
              <w:left w:val="nil"/>
              <w:bottom w:val="single" w:sz="8" w:space="0" w:color="FFFFFF"/>
              <w:right w:val="single" w:sz="8" w:space="0" w:color="FFFFFF"/>
            </w:tcBorders>
            <w:shd w:val="clear" w:color="000000" w:fill="D4E1ED"/>
            <w:noWrap/>
            <w:vAlign w:val="center"/>
          </w:tcPr>
          <w:p w14:paraId="5596C47F"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0%</w:t>
            </w:r>
          </w:p>
        </w:tc>
      </w:tr>
      <w:tr w:rsidR="005A6DBB" w14:paraId="58156B6F" w14:textId="77777777">
        <w:trPr>
          <w:trHeight w:val="315"/>
        </w:trPr>
        <w:tc>
          <w:tcPr>
            <w:tcW w:w="737" w:type="pct"/>
            <w:tcBorders>
              <w:top w:val="nil"/>
              <w:left w:val="single" w:sz="8" w:space="0" w:color="FFFFFF"/>
              <w:bottom w:val="single" w:sz="8" w:space="0" w:color="FFFFFF"/>
              <w:right w:val="single" w:sz="8" w:space="0" w:color="FFFFFF"/>
            </w:tcBorders>
            <w:shd w:val="clear" w:color="000000" w:fill="BED3E4"/>
            <w:noWrap/>
            <w:vAlign w:val="center"/>
          </w:tcPr>
          <w:p w14:paraId="6F6647CF" w14:textId="77777777" w:rsidR="005A6DBB" w:rsidRDefault="00F93099">
            <w:pPr>
              <w:spacing w:before="120" w:after="120" w:line="240" w:lineRule="auto"/>
              <w:rPr>
                <w:rFonts w:cs="Calibri"/>
                <w:color w:val="000000"/>
                <w:sz w:val="20"/>
                <w:szCs w:val="20"/>
                <w:lang w:val="en-US"/>
              </w:rPr>
            </w:pPr>
            <w:r>
              <w:rPr>
                <w:rFonts w:cs="Calibri"/>
                <w:color w:val="000000"/>
                <w:sz w:val="20"/>
                <w:szCs w:val="20"/>
              </w:rPr>
              <w:t>Sanitation</w:t>
            </w:r>
          </w:p>
        </w:tc>
        <w:tc>
          <w:tcPr>
            <w:tcW w:w="843" w:type="pct"/>
            <w:tcBorders>
              <w:top w:val="nil"/>
              <w:left w:val="nil"/>
              <w:bottom w:val="single" w:sz="8" w:space="0" w:color="FFFFFF"/>
              <w:right w:val="single" w:sz="8" w:space="0" w:color="FFFFFF"/>
            </w:tcBorders>
            <w:shd w:val="clear" w:color="000000" w:fill="BED3E4"/>
            <w:noWrap/>
            <w:vAlign w:val="center"/>
          </w:tcPr>
          <w:p w14:paraId="41DDC0BE"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138 784</w:t>
            </w:r>
          </w:p>
        </w:tc>
        <w:tc>
          <w:tcPr>
            <w:tcW w:w="843" w:type="pct"/>
            <w:tcBorders>
              <w:top w:val="nil"/>
              <w:left w:val="nil"/>
              <w:bottom w:val="single" w:sz="8" w:space="0" w:color="FFFFFF"/>
              <w:right w:val="single" w:sz="8" w:space="0" w:color="FFFFFF"/>
            </w:tcBorders>
            <w:shd w:val="clear" w:color="000000" w:fill="BED3E4"/>
            <w:noWrap/>
            <w:vAlign w:val="center"/>
          </w:tcPr>
          <w:p w14:paraId="73380C44"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131 624</w:t>
            </w:r>
          </w:p>
        </w:tc>
        <w:tc>
          <w:tcPr>
            <w:tcW w:w="890" w:type="pct"/>
            <w:tcBorders>
              <w:top w:val="nil"/>
              <w:left w:val="nil"/>
              <w:bottom w:val="single" w:sz="8" w:space="0" w:color="FFFFFF"/>
              <w:right w:val="single" w:sz="8" w:space="0" w:color="FFFFFF"/>
            </w:tcBorders>
            <w:shd w:val="clear" w:color="000000" w:fill="BED3E4"/>
            <w:noWrap/>
            <w:vAlign w:val="center"/>
          </w:tcPr>
          <w:p w14:paraId="483B8556"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94.84%</w:t>
            </w:r>
          </w:p>
        </w:tc>
        <w:tc>
          <w:tcPr>
            <w:tcW w:w="843" w:type="pct"/>
            <w:tcBorders>
              <w:top w:val="nil"/>
              <w:left w:val="nil"/>
              <w:bottom w:val="single" w:sz="8" w:space="0" w:color="FFFFFF"/>
              <w:right w:val="single" w:sz="8" w:space="0" w:color="FFFFFF"/>
            </w:tcBorders>
            <w:shd w:val="clear" w:color="000000" w:fill="BED3E4"/>
            <w:noWrap/>
            <w:vAlign w:val="center"/>
          </w:tcPr>
          <w:p w14:paraId="2E771F2B"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7 160</w:t>
            </w:r>
          </w:p>
        </w:tc>
        <w:tc>
          <w:tcPr>
            <w:tcW w:w="843" w:type="pct"/>
            <w:tcBorders>
              <w:top w:val="nil"/>
              <w:left w:val="nil"/>
              <w:bottom w:val="single" w:sz="8" w:space="0" w:color="FFFFFF"/>
              <w:right w:val="single" w:sz="8" w:space="0" w:color="FFFFFF"/>
            </w:tcBorders>
            <w:shd w:val="clear" w:color="000000" w:fill="BED3E4"/>
            <w:noWrap/>
            <w:vAlign w:val="center"/>
          </w:tcPr>
          <w:p w14:paraId="2AF36FD1"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5.16%</w:t>
            </w:r>
          </w:p>
        </w:tc>
      </w:tr>
      <w:tr w:rsidR="005A6DBB" w14:paraId="5605C953" w14:textId="77777777">
        <w:trPr>
          <w:trHeight w:val="525"/>
        </w:trPr>
        <w:tc>
          <w:tcPr>
            <w:tcW w:w="737" w:type="pct"/>
            <w:tcBorders>
              <w:top w:val="nil"/>
              <w:left w:val="single" w:sz="8" w:space="0" w:color="FFFFFF"/>
              <w:bottom w:val="single" w:sz="8" w:space="0" w:color="FFFFFF"/>
              <w:right w:val="single" w:sz="8" w:space="0" w:color="FFFFFF"/>
            </w:tcBorders>
            <w:shd w:val="clear" w:color="000000" w:fill="D4E1ED"/>
            <w:noWrap/>
            <w:vAlign w:val="center"/>
          </w:tcPr>
          <w:p w14:paraId="48C7583E" w14:textId="77777777" w:rsidR="005A6DBB" w:rsidRDefault="00F93099">
            <w:pPr>
              <w:spacing w:before="120" w:after="120" w:line="240" w:lineRule="auto"/>
              <w:rPr>
                <w:rFonts w:cs="Calibri"/>
                <w:color w:val="000000"/>
                <w:sz w:val="20"/>
                <w:szCs w:val="20"/>
                <w:lang w:val="en-US"/>
              </w:rPr>
            </w:pPr>
            <w:r>
              <w:rPr>
                <w:rFonts w:cs="Calibri"/>
                <w:color w:val="000000"/>
                <w:sz w:val="20"/>
                <w:szCs w:val="20"/>
              </w:rPr>
              <w:t>Solid waste</w:t>
            </w:r>
          </w:p>
        </w:tc>
        <w:tc>
          <w:tcPr>
            <w:tcW w:w="843" w:type="pct"/>
            <w:tcBorders>
              <w:top w:val="nil"/>
              <w:left w:val="nil"/>
              <w:bottom w:val="single" w:sz="8" w:space="0" w:color="FFFFFF"/>
              <w:right w:val="single" w:sz="8" w:space="0" w:color="FFFFFF"/>
            </w:tcBorders>
            <w:shd w:val="clear" w:color="000000" w:fill="D4E1ED"/>
            <w:noWrap/>
            <w:vAlign w:val="center"/>
          </w:tcPr>
          <w:p w14:paraId="229110FA"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218 678</w:t>
            </w:r>
          </w:p>
        </w:tc>
        <w:tc>
          <w:tcPr>
            <w:tcW w:w="843" w:type="pct"/>
            <w:tcBorders>
              <w:top w:val="nil"/>
              <w:left w:val="nil"/>
              <w:bottom w:val="single" w:sz="8" w:space="0" w:color="FFFFFF"/>
              <w:right w:val="single" w:sz="8" w:space="0" w:color="FFFFFF"/>
            </w:tcBorders>
            <w:shd w:val="clear" w:color="000000" w:fill="D4E1ED"/>
            <w:noWrap/>
            <w:vAlign w:val="center"/>
          </w:tcPr>
          <w:p w14:paraId="3245011E"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218 678</w:t>
            </w:r>
          </w:p>
        </w:tc>
        <w:tc>
          <w:tcPr>
            <w:tcW w:w="890" w:type="pct"/>
            <w:tcBorders>
              <w:top w:val="nil"/>
              <w:left w:val="nil"/>
              <w:bottom w:val="single" w:sz="8" w:space="0" w:color="FFFFFF"/>
              <w:right w:val="single" w:sz="8" w:space="0" w:color="FFFFFF"/>
            </w:tcBorders>
            <w:shd w:val="clear" w:color="000000" w:fill="D4E1ED"/>
            <w:noWrap/>
            <w:vAlign w:val="center"/>
          </w:tcPr>
          <w:p w14:paraId="1C489B84"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100.00%</w:t>
            </w:r>
          </w:p>
        </w:tc>
        <w:tc>
          <w:tcPr>
            <w:tcW w:w="843" w:type="pct"/>
            <w:tcBorders>
              <w:top w:val="nil"/>
              <w:left w:val="nil"/>
              <w:bottom w:val="single" w:sz="8" w:space="0" w:color="FFFFFF"/>
              <w:right w:val="single" w:sz="8" w:space="0" w:color="FFFFFF"/>
            </w:tcBorders>
            <w:shd w:val="clear" w:color="000000" w:fill="D4E1ED"/>
            <w:noWrap/>
            <w:vAlign w:val="center"/>
          </w:tcPr>
          <w:p w14:paraId="2882D299"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0</w:t>
            </w:r>
          </w:p>
        </w:tc>
        <w:tc>
          <w:tcPr>
            <w:tcW w:w="843" w:type="pct"/>
            <w:tcBorders>
              <w:top w:val="nil"/>
              <w:left w:val="nil"/>
              <w:bottom w:val="single" w:sz="8" w:space="0" w:color="FFFFFF"/>
              <w:right w:val="single" w:sz="8" w:space="0" w:color="FFFFFF"/>
            </w:tcBorders>
            <w:shd w:val="clear" w:color="000000" w:fill="D4E1ED"/>
            <w:noWrap/>
            <w:vAlign w:val="center"/>
          </w:tcPr>
          <w:p w14:paraId="3DD60189"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0.00%</w:t>
            </w:r>
          </w:p>
        </w:tc>
      </w:tr>
      <w:tr w:rsidR="005A6DBB" w14:paraId="6948DC68" w14:textId="77777777">
        <w:trPr>
          <w:trHeight w:val="315"/>
        </w:trPr>
        <w:tc>
          <w:tcPr>
            <w:tcW w:w="737" w:type="pct"/>
            <w:tcBorders>
              <w:top w:val="nil"/>
              <w:left w:val="single" w:sz="8" w:space="0" w:color="FFFFFF"/>
              <w:bottom w:val="single" w:sz="8" w:space="0" w:color="FFFFFF"/>
              <w:right w:val="single" w:sz="8" w:space="0" w:color="FFFFFF"/>
            </w:tcBorders>
            <w:shd w:val="clear" w:color="000000" w:fill="BED3E4"/>
            <w:noWrap/>
            <w:vAlign w:val="center"/>
          </w:tcPr>
          <w:p w14:paraId="370945DA" w14:textId="77777777" w:rsidR="005A6DBB" w:rsidRDefault="00F93099">
            <w:pPr>
              <w:spacing w:before="120" w:after="120" w:line="240" w:lineRule="auto"/>
              <w:rPr>
                <w:rFonts w:cs="Calibri"/>
                <w:color w:val="000000"/>
                <w:sz w:val="20"/>
                <w:szCs w:val="20"/>
                <w:lang w:val="en-US"/>
              </w:rPr>
            </w:pPr>
            <w:r>
              <w:rPr>
                <w:rFonts w:cs="Calibri"/>
                <w:color w:val="000000"/>
                <w:sz w:val="20"/>
                <w:szCs w:val="20"/>
              </w:rPr>
              <w:t>Electricity</w:t>
            </w:r>
          </w:p>
        </w:tc>
        <w:tc>
          <w:tcPr>
            <w:tcW w:w="843" w:type="pct"/>
            <w:tcBorders>
              <w:top w:val="nil"/>
              <w:left w:val="nil"/>
              <w:bottom w:val="single" w:sz="8" w:space="0" w:color="FFFFFF"/>
              <w:right w:val="single" w:sz="8" w:space="0" w:color="FFFFFF"/>
            </w:tcBorders>
            <w:shd w:val="clear" w:color="000000" w:fill="BED3E4"/>
            <w:noWrap/>
            <w:vAlign w:val="center"/>
          </w:tcPr>
          <w:p w14:paraId="79C987B8"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151 190</w:t>
            </w:r>
          </w:p>
        </w:tc>
        <w:tc>
          <w:tcPr>
            <w:tcW w:w="843" w:type="pct"/>
            <w:tcBorders>
              <w:top w:val="nil"/>
              <w:left w:val="nil"/>
              <w:bottom w:val="single" w:sz="8" w:space="0" w:color="FFFFFF"/>
              <w:right w:val="single" w:sz="8" w:space="0" w:color="FFFFFF"/>
            </w:tcBorders>
            <w:shd w:val="clear" w:color="000000" w:fill="BED3E4"/>
            <w:noWrap/>
            <w:vAlign w:val="center"/>
          </w:tcPr>
          <w:p w14:paraId="4368A1A5"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lang w:val="en-US"/>
              </w:rPr>
              <w:t xml:space="preserve">151 190 </w:t>
            </w:r>
          </w:p>
        </w:tc>
        <w:tc>
          <w:tcPr>
            <w:tcW w:w="890" w:type="pct"/>
            <w:tcBorders>
              <w:top w:val="nil"/>
              <w:left w:val="nil"/>
              <w:bottom w:val="single" w:sz="8" w:space="0" w:color="FFFFFF"/>
              <w:right w:val="single" w:sz="8" w:space="0" w:color="FFFFFF"/>
            </w:tcBorders>
            <w:shd w:val="clear" w:color="000000" w:fill="BED3E4"/>
            <w:noWrap/>
            <w:vAlign w:val="center"/>
          </w:tcPr>
          <w:p w14:paraId="200DFDE7"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lang w:val="en-US"/>
              </w:rPr>
              <w:t>100.00%</w:t>
            </w:r>
          </w:p>
        </w:tc>
        <w:tc>
          <w:tcPr>
            <w:tcW w:w="843" w:type="pct"/>
            <w:tcBorders>
              <w:top w:val="nil"/>
              <w:left w:val="nil"/>
              <w:bottom w:val="single" w:sz="8" w:space="0" w:color="FFFFFF"/>
              <w:right w:val="single" w:sz="8" w:space="0" w:color="FFFFFF"/>
            </w:tcBorders>
            <w:shd w:val="clear" w:color="000000" w:fill="BED3E4"/>
            <w:noWrap/>
            <w:vAlign w:val="center"/>
          </w:tcPr>
          <w:p w14:paraId="53D23AEB" w14:textId="77777777" w:rsidR="005A6DBB" w:rsidRDefault="00F93099">
            <w:pPr>
              <w:spacing w:before="120" w:after="120" w:line="240" w:lineRule="auto"/>
              <w:jc w:val="right"/>
              <w:rPr>
                <w:rFonts w:cs="Calibri"/>
                <w:color w:val="000000"/>
                <w:sz w:val="20"/>
                <w:szCs w:val="20"/>
                <w:lang w:val="en-US"/>
              </w:rPr>
            </w:pPr>
            <w:r>
              <w:rPr>
                <w:rFonts w:cs="Calibri"/>
                <w:color w:val="000000"/>
                <w:sz w:val="20"/>
                <w:szCs w:val="20"/>
              </w:rPr>
              <w:t>0</w:t>
            </w:r>
          </w:p>
        </w:tc>
        <w:tc>
          <w:tcPr>
            <w:tcW w:w="843" w:type="pct"/>
            <w:tcBorders>
              <w:top w:val="nil"/>
              <w:left w:val="nil"/>
              <w:bottom w:val="single" w:sz="8" w:space="0" w:color="FFFFFF"/>
              <w:right w:val="single" w:sz="8" w:space="0" w:color="FFFFFF"/>
            </w:tcBorders>
            <w:shd w:val="clear" w:color="000000" w:fill="BED3E4"/>
            <w:noWrap/>
            <w:vAlign w:val="center"/>
          </w:tcPr>
          <w:p w14:paraId="432B2575" w14:textId="77777777" w:rsidR="005A6DBB" w:rsidRDefault="00F93099">
            <w:pPr>
              <w:spacing w:before="120" w:after="120" w:line="240" w:lineRule="auto"/>
              <w:jc w:val="center"/>
              <w:rPr>
                <w:rFonts w:cs="Calibri"/>
                <w:color w:val="000000"/>
                <w:sz w:val="20"/>
                <w:szCs w:val="20"/>
                <w:lang w:val="en-US"/>
              </w:rPr>
            </w:pPr>
            <w:r>
              <w:rPr>
                <w:rFonts w:cs="Calibri"/>
                <w:color w:val="000000"/>
                <w:sz w:val="20"/>
                <w:szCs w:val="20"/>
              </w:rPr>
              <w:t>0.00%</w:t>
            </w:r>
          </w:p>
        </w:tc>
      </w:tr>
    </w:tbl>
    <w:p w14:paraId="2B3C78FE" w14:textId="09F3E4EB" w:rsidR="005A6DBB" w:rsidRDefault="00F93099">
      <w:pPr>
        <w:pStyle w:val="Caption"/>
      </w:pPr>
      <w:r>
        <w:t xml:space="preserve">Table </w:t>
      </w:r>
      <w:r>
        <w:fldChar w:fldCharType="begin"/>
      </w:r>
      <w:r>
        <w:instrText xml:space="preserve"> SEQ Table \* ARABIC </w:instrText>
      </w:r>
      <w:r>
        <w:fldChar w:fldCharType="separate"/>
      </w:r>
      <w:r w:rsidR="00A564BE">
        <w:rPr>
          <w:noProof/>
        </w:rPr>
        <w:t>15</w:t>
      </w:r>
      <w:r>
        <w:fldChar w:fldCharType="end"/>
      </w:r>
      <w:r>
        <w:t xml:space="preserve"> - Service Levels</w:t>
      </w:r>
    </w:p>
    <w:p w14:paraId="49FA81BD" w14:textId="77777777" w:rsidR="005A6DBB" w:rsidRDefault="00F93099">
      <w:pPr>
        <w:spacing w:before="120" w:after="120"/>
        <w:rPr>
          <w:lang w:val="en-US"/>
        </w:rPr>
      </w:pPr>
      <w:r>
        <w:rPr>
          <w:lang w:val="en-US"/>
        </w:rPr>
        <w:t>The only reported backlog from the A10 report is for Sanitation services where 5.16% or 7 160 households are reported having either bucket provisions or similar which is below the minimum level of service, which is constrained by system capacity and this requires a new pipeline.</w:t>
      </w:r>
    </w:p>
    <w:p w14:paraId="2A5004DB" w14:textId="77777777" w:rsidR="005A6DBB" w:rsidRDefault="00F93099">
      <w:pPr>
        <w:spacing w:before="120" w:after="120"/>
        <w:rPr>
          <w:lang w:val="en-US"/>
        </w:rPr>
      </w:pPr>
      <w:r>
        <w:rPr>
          <w:lang w:val="en-US"/>
        </w:rPr>
        <w:t xml:space="preserve">This also implies that Water, Solid Waste and Electricity services are provided to 100% of the households at or above the minimum levels of service.  </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03"/>
        <w:gridCol w:w="1705"/>
        <w:gridCol w:w="1353"/>
        <w:gridCol w:w="1482"/>
        <w:gridCol w:w="3249"/>
      </w:tblGrid>
      <w:tr w:rsidR="005A6DBB" w14:paraId="75D56C2B" w14:textId="77777777">
        <w:trPr>
          <w:trHeight w:val="1140"/>
          <w:tblHeader/>
        </w:trPr>
        <w:tc>
          <w:tcPr>
            <w:tcW w:w="1404" w:type="dxa"/>
            <w:shd w:val="clear" w:color="auto" w:fill="002060"/>
            <w:vAlign w:val="center"/>
          </w:tcPr>
          <w:p w14:paraId="5AD70D30"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rPr>
              <w:t>Service</w:t>
            </w:r>
          </w:p>
        </w:tc>
        <w:tc>
          <w:tcPr>
            <w:tcW w:w="1705" w:type="dxa"/>
            <w:shd w:val="clear" w:color="auto" w:fill="002060"/>
            <w:vAlign w:val="center"/>
          </w:tcPr>
          <w:p w14:paraId="0721DD28" w14:textId="77777777" w:rsidR="005A6DBB" w:rsidRDefault="00F93099">
            <w:pPr>
              <w:spacing w:before="120" w:after="120"/>
              <w:jc w:val="center"/>
              <w:rPr>
                <w:rFonts w:cs="Calibri"/>
                <w:b/>
                <w:bCs/>
                <w:color w:val="FFFFFF" w:themeColor="background1"/>
                <w:sz w:val="20"/>
                <w:szCs w:val="20"/>
              </w:rPr>
            </w:pPr>
            <w:r>
              <w:rPr>
                <w:rFonts w:cs="Calibri"/>
                <w:b/>
                <w:bCs/>
                <w:color w:val="FFFFFF" w:themeColor="background1"/>
                <w:sz w:val="20"/>
                <w:szCs w:val="20"/>
              </w:rPr>
              <w:t>Capacity</w:t>
            </w:r>
          </w:p>
        </w:tc>
        <w:tc>
          <w:tcPr>
            <w:tcW w:w="1353" w:type="dxa"/>
            <w:shd w:val="clear" w:color="auto" w:fill="002060"/>
            <w:vAlign w:val="center"/>
          </w:tcPr>
          <w:p w14:paraId="392DFE88" w14:textId="77777777" w:rsidR="005A6DBB" w:rsidRDefault="00F93099">
            <w:pPr>
              <w:spacing w:before="120" w:after="120"/>
              <w:jc w:val="center"/>
              <w:rPr>
                <w:rFonts w:cs="Calibri"/>
                <w:b/>
                <w:bCs/>
                <w:color w:val="FFFFFF" w:themeColor="background1"/>
                <w:sz w:val="20"/>
                <w:szCs w:val="20"/>
              </w:rPr>
            </w:pPr>
            <w:r>
              <w:rPr>
                <w:rFonts w:cs="Calibri"/>
                <w:b/>
                <w:bCs/>
                <w:color w:val="FFFFFF" w:themeColor="background1"/>
                <w:sz w:val="20"/>
                <w:szCs w:val="20"/>
              </w:rPr>
              <w:t>Demand</w:t>
            </w:r>
          </w:p>
        </w:tc>
        <w:tc>
          <w:tcPr>
            <w:tcW w:w="1482" w:type="dxa"/>
            <w:shd w:val="clear" w:color="auto" w:fill="002060"/>
            <w:vAlign w:val="center"/>
          </w:tcPr>
          <w:p w14:paraId="348A6752" w14:textId="77777777" w:rsidR="005A6DBB" w:rsidRDefault="00F93099">
            <w:pPr>
              <w:spacing w:before="120" w:after="120"/>
              <w:jc w:val="center"/>
              <w:rPr>
                <w:rFonts w:cs="Calibri"/>
                <w:b/>
                <w:bCs/>
                <w:color w:val="FFFFFF" w:themeColor="background1"/>
                <w:sz w:val="20"/>
                <w:szCs w:val="20"/>
              </w:rPr>
            </w:pPr>
            <w:r>
              <w:rPr>
                <w:rFonts w:cs="Calibri"/>
                <w:b/>
                <w:bCs/>
                <w:color w:val="FFFFFF" w:themeColor="background1"/>
                <w:sz w:val="20"/>
                <w:szCs w:val="20"/>
              </w:rPr>
              <w:t>Reported Spare Capacity</w:t>
            </w:r>
          </w:p>
        </w:tc>
        <w:tc>
          <w:tcPr>
            <w:tcW w:w="3250" w:type="dxa"/>
            <w:shd w:val="clear" w:color="auto" w:fill="002060"/>
            <w:vAlign w:val="center"/>
          </w:tcPr>
          <w:p w14:paraId="3CAA8C4E" w14:textId="77777777" w:rsidR="005A6DBB" w:rsidRDefault="00F93099">
            <w:pPr>
              <w:spacing w:before="120" w:after="120"/>
              <w:jc w:val="center"/>
            </w:pPr>
            <w:r>
              <w:rPr>
                <w:rFonts w:cs="Calibri"/>
                <w:b/>
                <w:bCs/>
                <w:color w:val="FFFFFF" w:themeColor="background1"/>
                <w:sz w:val="20"/>
                <w:szCs w:val="20"/>
              </w:rPr>
              <w:t>Strategies to Address</w:t>
            </w:r>
          </w:p>
        </w:tc>
      </w:tr>
      <w:tr w:rsidR="005A6DBB" w14:paraId="36C4A22A" w14:textId="77777777">
        <w:trPr>
          <w:trHeight w:val="315"/>
        </w:trPr>
        <w:tc>
          <w:tcPr>
            <w:tcW w:w="1404" w:type="dxa"/>
            <w:shd w:val="clear" w:color="auto" w:fill="D4E1ED"/>
            <w:vAlign w:val="center"/>
          </w:tcPr>
          <w:p w14:paraId="17A393AD" w14:textId="77777777" w:rsidR="005A6DBB" w:rsidRDefault="00F93099">
            <w:pPr>
              <w:spacing w:before="120" w:after="120"/>
              <w:rPr>
                <w:rFonts w:cs="Calibri"/>
                <w:color w:val="000000" w:themeColor="text1"/>
                <w:sz w:val="20"/>
                <w:szCs w:val="20"/>
                <w:lang w:val="en-US"/>
              </w:rPr>
            </w:pPr>
            <w:r>
              <w:rPr>
                <w:rFonts w:cs="Calibri"/>
                <w:color w:val="000000" w:themeColor="text1"/>
                <w:sz w:val="20"/>
                <w:szCs w:val="20"/>
              </w:rPr>
              <w:t>Water</w:t>
            </w:r>
          </w:p>
        </w:tc>
        <w:tc>
          <w:tcPr>
            <w:tcW w:w="1705" w:type="dxa"/>
            <w:shd w:val="clear" w:color="auto" w:fill="D4E1ED"/>
            <w:vAlign w:val="center"/>
          </w:tcPr>
          <w:p w14:paraId="7965169B"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 xml:space="preserve">187 </w:t>
            </w:r>
            <w:proofErr w:type="spellStart"/>
            <w:r>
              <w:rPr>
                <w:rFonts w:cs="Calibri"/>
                <w:color w:val="000000" w:themeColor="text1"/>
                <w:sz w:val="20"/>
                <w:szCs w:val="20"/>
                <w:lang w:val="en-US"/>
              </w:rPr>
              <w:t>Ml</w:t>
            </w:r>
            <w:proofErr w:type="spellEnd"/>
            <w:r>
              <w:rPr>
                <w:rFonts w:cs="Calibri"/>
                <w:color w:val="000000" w:themeColor="text1"/>
                <w:sz w:val="20"/>
                <w:szCs w:val="20"/>
                <w:lang w:val="en-US"/>
              </w:rPr>
              <w:t>/day</w:t>
            </w:r>
          </w:p>
        </w:tc>
        <w:tc>
          <w:tcPr>
            <w:tcW w:w="1353" w:type="dxa"/>
            <w:shd w:val="clear" w:color="auto" w:fill="D4E1ED"/>
            <w:vAlign w:val="center"/>
          </w:tcPr>
          <w:p w14:paraId="36213271"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 xml:space="preserve">247 </w:t>
            </w:r>
            <w:proofErr w:type="spellStart"/>
            <w:r>
              <w:rPr>
                <w:rFonts w:cs="Calibri"/>
                <w:color w:val="000000" w:themeColor="text1"/>
                <w:sz w:val="20"/>
                <w:szCs w:val="20"/>
                <w:lang w:val="en-US"/>
              </w:rPr>
              <w:t>Ml</w:t>
            </w:r>
            <w:proofErr w:type="spellEnd"/>
            <w:r>
              <w:rPr>
                <w:rFonts w:cs="Calibri"/>
                <w:color w:val="000000" w:themeColor="text1"/>
                <w:sz w:val="20"/>
                <w:szCs w:val="20"/>
                <w:lang w:val="en-US"/>
              </w:rPr>
              <w:t>/day</w:t>
            </w:r>
          </w:p>
        </w:tc>
        <w:tc>
          <w:tcPr>
            <w:tcW w:w="1482" w:type="dxa"/>
            <w:shd w:val="clear" w:color="auto" w:fill="D4E1ED"/>
            <w:vAlign w:val="center"/>
          </w:tcPr>
          <w:p w14:paraId="3298F5E3"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 xml:space="preserve">60 </w:t>
            </w:r>
            <w:proofErr w:type="spellStart"/>
            <w:r>
              <w:rPr>
                <w:rFonts w:cs="Calibri"/>
                <w:color w:val="000000" w:themeColor="text1"/>
                <w:sz w:val="20"/>
                <w:szCs w:val="20"/>
                <w:lang w:val="en-US"/>
              </w:rPr>
              <w:t>Ml</w:t>
            </w:r>
            <w:proofErr w:type="spellEnd"/>
            <w:r>
              <w:rPr>
                <w:rFonts w:cs="Calibri"/>
                <w:color w:val="000000" w:themeColor="text1"/>
                <w:sz w:val="20"/>
                <w:szCs w:val="20"/>
                <w:lang w:val="en-US"/>
              </w:rPr>
              <w:t xml:space="preserve">/day </w:t>
            </w:r>
            <w:r>
              <w:rPr>
                <w:rFonts w:cs="Calibri"/>
                <w:color w:val="FF0000"/>
                <w:sz w:val="20"/>
                <w:szCs w:val="20"/>
                <w:lang w:val="en-US"/>
              </w:rPr>
              <w:t>deficit</w:t>
            </w:r>
          </w:p>
        </w:tc>
        <w:tc>
          <w:tcPr>
            <w:tcW w:w="3250" w:type="dxa"/>
            <w:shd w:val="clear" w:color="auto" w:fill="D4E1ED"/>
            <w:vAlign w:val="center"/>
          </w:tcPr>
          <w:p w14:paraId="311DE154" w14:textId="77777777" w:rsidR="005A6DBB" w:rsidRDefault="00F93099">
            <w:pPr>
              <w:spacing w:before="120" w:after="120"/>
              <w:jc w:val="left"/>
              <w:rPr>
                <w:rFonts w:cs="Calibri"/>
                <w:color w:val="000000" w:themeColor="text1"/>
                <w:sz w:val="20"/>
                <w:szCs w:val="20"/>
                <w:lang w:val="en-US"/>
              </w:rPr>
            </w:pPr>
            <w:proofErr w:type="spellStart"/>
            <w:r>
              <w:rPr>
                <w:rFonts w:cs="Calibri"/>
                <w:color w:val="000000" w:themeColor="text1"/>
                <w:sz w:val="20"/>
                <w:szCs w:val="20"/>
                <w:lang w:val="en-US"/>
              </w:rPr>
              <w:t>Priortise</w:t>
            </w:r>
            <w:proofErr w:type="spellEnd"/>
            <w:r>
              <w:rPr>
                <w:rFonts w:cs="Calibri"/>
                <w:color w:val="000000" w:themeColor="text1"/>
                <w:sz w:val="20"/>
                <w:szCs w:val="20"/>
                <w:lang w:val="en-US"/>
              </w:rPr>
              <w:t xml:space="preserve"> the </w:t>
            </w:r>
            <w:proofErr w:type="spellStart"/>
            <w:r>
              <w:rPr>
                <w:rFonts w:cs="Calibri"/>
                <w:color w:val="000000" w:themeColor="text1"/>
                <w:sz w:val="20"/>
                <w:szCs w:val="20"/>
                <w:lang w:val="en-US"/>
              </w:rPr>
              <w:t>Gariep</w:t>
            </w:r>
            <w:proofErr w:type="spellEnd"/>
            <w:r>
              <w:rPr>
                <w:rFonts w:cs="Calibri"/>
                <w:color w:val="000000" w:themeColor="text1"/>
                <w:sz w:val="20"/>
                <w:szCs w:val="20"/>
                <w:lang w:val="en-US"/>
              </w:rPr>
              <w:t xml:space="preserve"> Pipeline interventions by ensuring funding is secured.</w:t>
            </w:r>
          </w:p>
          <w:p w14:paraId="625A2184" w14:textId="77777777" w:rsidR="005A6DBB" w:rsidRDefault="00F93099">
            <w:pPr>
              <w:spacing w:before="120" w:after="120"/>
              <w:jc w:val="left"/>
              <w:rPr>
                <w:rFonts w:cs="Calibri"/>
                <w:color w:val="000000" w:themeColor="text1"/>
                <w:sz w:val="20"/>
                <w:szCs w:val="20"/>
                <w:lang w:val="en-US"/>
              </w:rPr>
            </w:pPr>
            <w:r>
              <w:rPr>
                <w:rFonts w:cs="Calibri"/>
                <w:color w:val="000000" w:themeColor="text1"/>
                <w:sz w:val="20"/>
                <w:szCs w:val="20"/>
                <w:lang w:val="en-US"/>
              </w:rPr>
              <w:t>Improve system operation and management by ensuring skilled staff is deployed and maintenance budgets are available.</w:t>
            </w:r>
          </w:p>
        </w:tc>
      </w:tr>
      <w:tr w:rsidR="005A6DBB" w14:paraId="57954EFE" w14:textId="77777777">
        <w:trPr>
          <w:trHeight w:val="315"/>
        </w:trPr>
        <w:tc>
          <w:tcPr>
            <w:tcW w:w="1404" w:type="dxa"/>
            <w:shd w:val="clear" w:color="auto" w:fill="BED3E4"/>
            <w:vAlign w:val="center"/>
          </w:tcPr>
          <w:p w14:paraId="308DFD99" w14:textId="77777777" w:rsidR="005A6DBB" w:rsidRDefault="00F93099">
            <w:pPr>
              <w:spacing w:before="120" w:after="120"/>
              <w:rPr>
                <w:rFonts w:cs="Calibri"/>
                <w:color w:val="000000" w:themeColor="text1"/>
                <w:sz w:val="20"/>
                <w:szCs w:val="20"/>
                <w:lang w:val="en-US"/>
              </w:rPr>
            </w:pPr>
            <w:r>
              <w:rPr>
                <w:rFonts w:cs="Calibri"/>
                <w:color w:val="000000" w:themeColor="text1"/>
                <w:sz w:val="20"/>
                <w:szCs w:val="20"/>
              </w:rPr>
              <w:t>Sanitation</w:t>
            </w:r>
          </w:p>
        </w:tc>
        <w:tc>
          <w:tcPr>
            <w:tcW w:w="1705" w:type="dxa"/>
            <w:shd w:val="clear" w:color="auto" w:fill="BED3E4"/>
            <w:vAlign w:val="center"/>
          </w:tcPr>
          <w:p w14:paraId="5246B657"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1353" w:type="dxa"/>
            <w:shd w:val="clear" w:color="auto" w:fill="BED3E4"/>
            <w:vAlign w:val="center"/>
          </w:tcPr>
          <w:p w14:paraId="7DCE06B0"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1482" w:type="dxa"/>
            <w:shd w:val="clear" w:color="auto" w:fill="BED3E4"/>
            <w:vAlign w:val="center"/>
          </w:tcPr>
          <w:p w14:paraId="63E37B08"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 xml:space="preserve">8.5 </w:t>
            </w:r>
            <w:proofErr w:type="spellStart"/>
            <w:r>
              <w:rPr>
                <w:rFonts w:cs="Calibri"/>
                <w:color w:val="000000" w:themeColor="text1"/>
                <w:sz w:val="20"/>
                <w:szCs w:val="20"/>
                <w:lang w:val="en-US"/>
              </w:rPr>
              <w:t>Ml</w:t>
            </w:r>
            <w:proofErr w:type="spellEnd"/>
            <w:r>
              <w:rPr>
                <w:rFonts w:cs="Calibri"/>
                <w:color w:val="000000" w:themeColor="text1"/>
                <w:sz w:val="20"/>
                <w:szCs w:val="20"/>
                <w:lang w:val="en-US"/>
              </w:rPr>
              <w:t>/day</w:t>
            </w:r>
          </w:p>
          <w:p w14:paraId="28F3CDBB" w14:textId="77777777" w:rsidR="005A6DBB" w:rsidRDefault="00F93099">
            <w:pPr>
              <w:spacing w:before="120" w:after="120"/>
              <w:jc w:val="center"/>
            </w:pPr>
            <w:r>
              <w:rPr>
                <w:color w:val="00B050"/>
              </w:rPr>
              <w:t>Surplus</w:t>
            </w:r>
          </w:p>
        </w:tc>
        <w:tc>
          <w:tcPr>
            <w:tcW w:w="3250" w:type="dxa"/>
            <w:shd w:val="clear" w:color="auto" w:fill="BED3E4"/>
            <w:vAlign w:val="center"/>
          </w:tcPr>
          <w:p w14:paraId="2C284106" w14:textId="77777777" w:rsidR="005A6DBB" w:rsidRDefault="00F93099">
            <w:pPr>
              <w:spacing w:before="120" w:after="120"/>
              <w:jc w:val="left"/>
              <w:rPr>
                <w:rFonts w:cs="Calibri"/>
                <w:color w:val="000000" w:themeColor="text1"/>
                <w:sz w:val="20"/>
                <w:szCs w:val="20"/>
                <w:lang w:val="en-US"/>
              </w:rPr>
            </w:pPr>
            <w:r>
              <w:rPr>
                <w:rFonts w:cs="Calibri"/>
                <w:color w:val="000000" w:themeColor="text1"/>
                <w:sz w:val="20"/>
                <w:szCs w:val="20"/>
                <w:lang w:val="en-US"/>
              </w:rPr>
              <w:t>Phase 3 of Thaba Nchu Wastewater Treatment Works (WWTW).</w:t>
            </w:r>
          </w:p>
          <w:p w14:paraId="1F533E9A" w14:textId="77777777" w:rsidR="005A6DBB" w:rsidRDefault="00F93099">
            <w:pPr>
              <w:spacing w:before="120" w:after="120"/>
              <w:jc w:val="left"/>
              <w:rPr>
                <w:rFonts w:cs="Calibri"/>
                <w:color w:val="000000" w:themeColor="text1"/>
                <w:sz w:val="20"/>
                <w:szCs w:val="20"/>
                <w:lang w:val="en-US"/>
              </w:rPr>
            </w:pPr>
            <w:proofErr w:type="spellStart"/>
            <w:r>
              <w:rPr>
                <w:rFonts w:cs="Calibri"/>
                <w:color w:val="000000" w:themeColor="text1"/>
                <w:sz w:val="20"/>
                <w:szCs w:val="20"/>
                <w:lang w:val="en-US"/>
              </w:rPr>
              <w:t>Botshbelo</w:t>
            </w:r>
            <w:proofErr w:type="spellEnd"/>
            <w:r>
              <w:rPr>
                <w:rFonts w:cs="Calibri"/>
                <w:color w:val="000000" w:themeColor="text1"/>
                <w:sz w:val="20"/>
                <w:szCs w:val="20"/>
                <w:lang w:val="en-US"/>
              </w:rPr>
              <w:t xml:space="preserve"> outfall sewer (Network constraint).</w:t>
            </w:r>
          </w:p>
        </w:tc>
      </w:tr>
      <w:tr w:rsidR="005A6DBB" w14:paraId="6A1F1B09" w14:textId="77777777">
        <w:trPr>
          <w:trHeight w:val="315"/>
        </w:trPr>
        <w:tc>
          <w:tcPr>
            <w:tcW w:w="1404" w:type="dxa"/>
            <w:shd w:val="clear" w:color="auto" w:fill="D4E1ED"/>
            <w:vAlign w:val="center"/>
          </w:tcPr>
          <w:p w14:paraId="16045731"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rPr>
              <w:t>Solid waste</w:t>
            </w:r>
          </w:p>
        </w:tc>
        <w:tc>
          <w:tcPr>
            <w:tcW w:w="1705" w:type="dxa"/>
            <w:shd w:val="clear" w:color="auto" w:fill="D4E1ED"/>
            <w:vAlign w:val="center"/>
          </w:tcPr>
          <w:p w14:paraId="3F91C260"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7 landfill sites (IDP reports enough airspace for years to come)</w:t>
            </w:r>
          </w:p>
        </w:tc>
        <w:tc>
          <w:tcPr>
            <w:tcW w:w="1353" w:type="dxa"/>
            <w:shd w:val="clear" w:color="auto" w:fill="D4E1ED"/>
            <w:vAlign w:val="center"/>
          </w:tcPr>
          <w:p w14:paraId="55DAB2F7"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1482" w:type="dxa"/>
            <w:shd w:val="clear" w:color="auto" w:fill="D4E1ED"/>
            <w:vAlign w:val="center"/>
          </w:tcPr>
          <w:p w14:paraId="4210A29E"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3250" w:type="dxa"/>
            <w:shd w:val="clear" w:color="auto" w:fill="D4E1ED"/>
            <w:vAlign w:val="center"/>
          </w:tcPr>
          <w:p w14:paraId="133B6F07"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N/A</w:t>
            </w:r>
          </w:p>
        </w:tc>
      </w:tr>
      <w:tr w:rsidR="005A6DBB" w14:paraId="05DE8E07" w14:textId="77777777">
        <w:trPr>
          <w:trHeight w:val="315"/>
        </w:trPr>
        <w:tc>
          <w:tcPr>
            <w:tcW w:w="1404" w:type="dxa"/>
            <w:shd w:val="clear" w:color="auto" w:fill="BED3E4"/>
            <w:vAlign w:val="center"/>
          </w:tcPr>
          <w:p w14:paraId="465D0AA6"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rPr>
              <w:t>Electricity</w:t>
            </w:r>
          </w:p>
        </w:tc>
        <w:tc>
          <w:tcPr>
            <w:tcW w:w="1705" w:type="dxa"/>
            <w:shd w:val="clear" w:color="auto" w:fill="BED3E4"/>
            <w:vAlign w:val="center"/>
          </w:tcPr>
          <w:p w14:paraId="7A6E6F19"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1353" w:type="dxa"/>
            <w:shd w:val="clear" w:color="auto" w:fill="BED3E4"/>
            <w:vAlign w:val="center"/>
          </w:tcPr>
          <w:p w14:paraId="79A90864"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1482" w:type="dxa"/>
            <w:shd w:val="clear" w:color="auto" w:fill="BED3E4"/>
            <w:vAlign w:val="center"/>
          </w:tcPr>
          <w:p w14:paraId="64B3DD56" w14:textId="77777777" w:rsidR="005A6DBB" w:rsidRDefault="00F93099">
            <w:pPr>
              <w:spacing w:before="120" w:after="120"/>
              <w:jc w:val="center"/>
              <w:rPr>
                <w:rFonts w:cs="Calibri"/>
                <w:color w:val="000000" w:themeColor="text1"/>
                <w:sz w:val="20"/>
                <w:szCs w:val="20"/>
                <w:lang w:val="en-US"/>
              </w:rPr>
            </w:pPr>
            <w:r>
              <w:rPr>
                <w:rFonts w:cs="Calibri"/>
                <w:color w:val="000000" w:themeColor="text1"/>
                <w:sz w:val="20"/>
                <w:szCs w:val="20"/>
                <w:lang w:val="en-US"/>
              </w:rPr>
              <w:t>Not reported</w:t>
            </w:r>
          </w:p>
        </w:tc>
        <w:tc>
          <w:tcPr>
            <w:tcW w:w="3250" w:type="dxa"/>
            <w:shd w:val="clear" w:color="auto" w:fill="BED3E4"/>
            <w:vAlign w:val="center"/>
          </w:tcPr>
          <w:p w14:paraId="633F1391" w14:textId="77777777" w:rsidR="005A6DBB" w:rsidRDefault="00F93099">
            <w:pPr>
              <w:keepNext/>
              <w:spacing w:before="120" w:after="120"/>
              <w:jc w:val="center"/>
              <w:rPr>
                <w:rFonts w:cs="Calibri"/>
                <w:color w:val="000000" w:themeColor="text1"/>
                <w:sz w:val="20"/>
                <w:szCs w:val="20"/>
                <w:lang w:val="en-US"/>
              </w:rPr>
            </w:pPr>
            <w:r>
              <w:rPr>
                <w:rFonts w:cs="Calibri"/>
                <w:color w:val="000000" w:themeColor="text1"/>
                <w:sz w:val="20"/>
                <w:szCs w:val="20"/>
                <w:lang w:val="en-US"/>
              </w:rPr>
              <w:t>N/A</w:t>
            </w:r>
          </w:p>
        </w:tc>
      </w:tr>
    </w:tbl>
    <w:p w14:paraId="45FB48AE" w14:textId="5C937F6C"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16</w:t>
      </w:r>
      <w:r>
        <w:fldChar w:fldCharType="end"/>
      </w:r>
      <w:r>
        <w:t xml:space="preserve"> - Service Capacity</w:t>
      </w:r>
    </w:p>
    <w:p w14:paraId="54202682" w14:textId="77777777" w:rsidR="005A6DBB" w:rsidRDefault="00F93099">
      <w:pPr>
        <w:spacing w:before="120" w:after="120"/>
        <w:rPr>
          <w:lang w:val="en-US"/>
        </w:rPr>
      </w:pPr>
      <w:r>
        <w:rPr>
          <w:lang w:val="en-US"/>
        </w:rPr>
        <w:t xml:space="preserve">Water has a deficit of 60 </w:t>
      </w:r>
      <w:proofErr w:type="spellStart"/>
      <w:r>
        <w:rPr>
          <w:lang w:val="en-US"/>
        </w:rPr>
        <w:t>Ml</w:t>
      </w:r>
      <w:proofErr w:type="spellEnd"/>
      <w:r>
        <w:rPr>
          <w:lang w:val="en-US"/>
        </w:rPr>
        <w:t xml:space="preserve">/day as reported in the IDP.  Currently water restrictions have been imposed to assist in alleviating the load.  This is not sustainable and the </w:t>
      </w:r>
      <w:proofErr w:type="spellStart"/>
      <w:r>
        <w:rPr>
          <w:lang w:val="en-US"/>
        </w:rPr>
        <w:t>Gariep</w:t>
      </w:r>
      <w:proofErr w:type="spellEnd"/>
      <w:r>
        <w:rPr>
          <w:lang w:val="en-US"/>
        </w:rPr>
        <w:t xml:space="preserve"> pipeline initiative must be </w:t>
      </w:r>
      <w:proofErr w:type="spellStart"/>
      <w:r>
        <w:rPr>
          <w:lang w:val="en-US"/>
        </w:rPr>
        <w:t>prioritsed</w:t>
      </w:r>
      <w:proofErr w:type="spellEnd"/>
      <w:r>
        <w:rPr>
          <w:lang w:val="en-US"/>
        </w:rPr>
        <w:t xml:space="preserve"> along with repairing and bringing the existing water treatment works back to full design capacity.</w:t>
      </w:r>
    </w:p>
    <w:p w14:paraId="70722742" w14:textId="77777777" w:rsidR="005A6DBB" w:rsidRDefault="00F93099">
      <w:pPr>
        <w:spacing w:before="120" w:after="120"/>
        <w:rPr>
          <w:lang w:val="en-US"/>
        </w:rPr>
      </w:pPr>
      <w:r>
        <w:rPr>
          <w:lang w:val="en-US"/>
        </w:rPr>
        <w:t xml:space="preserve">Sanitation currently has a surplus in terms of meeting the current demand however backlogs cannot be adequately addressed until the upgrade of the </w:t>
      </w:r>
      <w:proofErr w:type="spellStart"/>
      <w:r>
        <w:rPr>
          <w:lang w:val="en-US"/>
        </w:rPr>
        <w:t>Botshbelo</w:t>
      </w:r>
      <w:proofErr w:type="spellEnd"/>
      <w:r>
        <w:rPr>
          <w:lang w:val="en-US"/>
        </w:rPr>
        <w:t xml:space="preserve"> outfall sewer is completed.  This will allow the addition of additional sewer lines and flow to the treatment works.</w:t>
      </w:r>
    </w:p>
    <w:p w14:paraId="66590D9A" w14:textId="77777777" w:rsidR="005A6DBB" w:rsidRDefault="00F93099">
      <w:pPr>
        <w:spacing w:before="120" w:after="120"/>
        <w:rPr>
          <w:lang w:val="en-US"/>
        </w:rPr>
      </w:pPr>
      <w:r>
        <w:rPr>
          <w:lang w:val="en-US"/>
        </w:rPr>
        <w:t>All other services were not reported on in terms of specifics on the capacity and demand.</w:t>
      </w:r>
    </w:p>
    <w:p w14:paraId="016BCC41" w14:textId="77777777" w:rsidR="005A6DBB" w:rsidRDefault="00F93099">
      <w:pPr>
        <w:keepNext/>
        <w:numPr>
          <w:ilvl w:val="2"/>
          <w:numId w:val="1"/>
        </w:numPr>
        <w:spacing w:before="120" w:after="120"/>
        <w:ind w:left="567" w:right="57" w:hanging="578"/>
        <w:rPr>
          <w:rFonts w:cs="Arial"/>
          <w:b/>
        </w:rPr>
      </w:pPr>
      <w:r>
        <w:rPr>
          <w:rFonts w:cs="Arial"/>
          <w:b/>
        </w:rPr>
        <w:t>State of the assets</w:t>
      </w:r>
    </w:p>
    <w:p w14:paraId="1F877E08" w14:textId="77777777" w:rsidR="005A6DBB" w:rsidRDefault="00F93099">
      <w:pPr>
        <w:spacing w:before="120" w:after="120"/>
        <w:rPr>
          <w:lang w:val="en-US"/>
        </w:rPr>
      </w:pPr>
      <w:r>
        <w:rPr>
          <w:lang w:val="en-US"/>
        </w:rPr>
        <w:t xml:space="preserve">An analysis was done on the FAR provided.  A geographic indication of the analysis could not be done as the register contained no location information.  Furthermore, based on the fields in the files, it is clear that the register does not meet the requirements of GRAP and </w:t>
      </w:r>
      <w:proofErr w:type="spellStart"/>
      <w:r>
        <w:rPr>
          <w:lang w:val="en-US"/>
        </w:rPr>
        <w:t>mSCOA</w:t>
      </w:r>
      <w:proofErr w:type="spellEnd"/>
      <w:r>
        <w:rPr>
          <w:lang w:val="en-US"/>
        </w:rPr>
        <w:t>.</w:t>
      </w:r>
    </w:p>
    <w:tbl>
      <w:tblPr>
        <w:tblStyle w:val="BSWordTable1"/>
        <w:tblW w:w="5000" w:type="pct"/>
        <w:tblLayout w:type="fixed"/>
        <w:tblLook w:val="04A0" w:firstRow="1" w:lastRow="0" w:firstColumn="1" w:lastColumn="0" w:noHBand="0" w:noVBand="1"/>
      </w:tblPr>
      <w:tblGrid>
        <w:gridCol w:w="1134"/>
        <w:gridCol w:w="1577"/>
        <w:gridCol w:w="999"/>
        <w:gridCol w:w="1362"/>
        <w:gridCol w:w="1999"/>
        <w:gridCol w:w="1439"/>
        <w:gridCol w:w="702"/>
      </w:tblGrid>
      <w:tr w:rsidR="005A6DBB" w14:paraId="26A61DEC" w14:textId="77777777" w:rsidTr="005A6DBB">
        <w:trPr>
          <w:cnfStyle w:val="100000000000" w:firstRow="1" w:lastRow="0" w:firstColumn="0" w:lastColumn="0" w:oddVBand="0" w:evenVBand="0" w:oddHBand="0" w:evenHBand="0" w:firstRowFirstColumn="0" w:firstRowLastColumn="0" w:lastRowFirstColumn="0" w:lastRowLastColumn="0"/>
          <w:trHeight w:val="300"/>
        </w:trPr>
        <w:tc>
          <w:tcPr>
            <w:tcW w:w="616" w:type="pct"/>
            <w:tcBorders>
              <w:right w:val="single" w:sz="2" w:space="0" w:color="FFFFFF"/>
            </w:tcBorders>
            <w:shd w:val="clear" w:color="auto" w:fill="002060"/>
            <w:noWrap/>
          </w:tcPr>
          <w:p w14:paraId="2BFAB706"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Class</w:t>
            </w:r>
          </w:p>
        </w:tc>
        <w:tc>
          <w:tcPr>
            <w:tcW w:w="856" w:type="pct"/>
            <w:tcBorders>
              <w:right w:val="single" w:sz="2" w:space="0" w:color="FFFFFF"/>
            </w:tcBorders>
            <w:shd w:val="clear" w:color="auto" w:fill="002060"/>
            <w:noWrap/>
          </w:tcPr>
          <w:p w14:paraId="4C4C3669"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Asset Condition</w:t>
            </w:r>
          </w:p>
        </w:tc>
        <w:tc>
          <w:tcPr>
            <w:tcW w:w="542" w:type="pct"/>
            <w:tcBorders>
              <w:right w:val="single" w:sz="2" w:space="0" w:color="FFFFFF"/>
            </w:tcBorders>
            <w:shd w:val="clear" w:color="auto" w:fill="002060"/>
            <w:noWrap/>
          </w:tcPr>
          <w:p w14:paraId="22D03872"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Asset Count</w:t>
            </w:r>
          </w:p>
        </w:tc>
        <w:tc>
          <w:tcPr>
            <w:tcW w:w="739" w:type="pct"/>
            <w:tcBorders>
              <w:right w:val="single" w:sz="2" w:space="0" w:color="FFFFFF"/>
            </w:tcBorders>
            <w:shd w:val="clear" w:color="auto" w:fill="002060"/>
            <w:noWrap/>
          </w:tcPr>
          <w:p w14:paraId="29122490"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 of Population</w:t>
            </w:r>
          </w:p>
        </w:tc>
        <w:tc>
          <w:tcPr>
            <w:tcW w:w="1085" w:type="pct"/>
            <w:tcBorders>
              <w:right w:val="single" w:sz="2" w:space="0" w:color="FFFFFF"/>
            </w:tcBorders>
            <w:shd w:val="clear" w:color="auto" w:fill="002060"/>
            <w:noWrap/>
          </w:tcPr>
          <w:p w14:paraId="3811762A"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Acquisition Costs</w:t>
            </w:r>
          </w:p>
        </w:tc>
        <w:tc>
          <w:tcPr>
            <w:tcW w:w="781" w:type="pct"/>
            <w:tcBorders>
              <w:right w:val="single" w:sz="2" w:space="0" w:color="FFFFFF"/>
            </w:tcBorders>
            <w:shd w:val="clear" w:color="auto" w:fill="002060"/>
            <w:noWrap/>
          </w:tcPr>
          <w:p w14:paraId="10EEF889" w14:textId="77777777" w:rsidR="005A6DBB" w:rsidRDefault="00F93099">
            <w:pPr>
              <w:spacing w:before="120" w:after="120" w:line="240" w:lineRule="auto"/>
              <w:jc w:val="center"/>
              <w:rPr>
                <w:rFonts w:cs="Calibri"/>
                <w:b w:val="0"/>
                <w:bCs/>
                <w:color w:val="FFFFFF" w:themeColor="background1"/>
                <w:sz w:val="16"/>
                <w:szCs w:val="16"/>
                <w:lang w:val="en-US" w:eastAsia="en-ZA"/>
              </w:rPr>
            </w:pPr>
            <w:r>
              <w:rPr>
                <w:rFonts w:cs="Calibri"/>
                <w:bCs/>
                <w:color w:val="FFFFFF" w:themeColor="background1"/>
                <w:sz w:val="16"/>
                <w:szCs w:val="16"/>
                <w:lang w:val="en-US" w:eastAsia="en-ZA"/>
              </w:rPr>
              <w:t>Carrying value</w:t>
            </w:r>
          </w:p>
        </w:tc>
        <w:tc>
          <w:tcPr>
            <w:tcW w:w="382" w:type="pct"/>
            <w:shd w:val="clear" w:color="auto" w:fill="002060"/>
            <w:noWrap/>
          </w:tcPr>
          <w:p w14:paraId="3AC159FD" w14:textId="77777777" w:rsidR="005A6DBB" w:rsidRDefault="00F93099">
            <w:pPr>
              <w:spacing w:before="120" w:after="120" w:line="240" w:lineRule="auto"/>
              <w:jc w:val="center"/>
              <w:rPr>
                <w:rFonts w:cs="Calibri"/>
                <w:bCs/>
                <w:color w:val="FFFFFF" w:themeColor="background1"/>
                <w:sz w:val="16"/>
                <w:szCs w:val="16"/>
                <w:lang w:val="en-US" w:eastAsia="en-ZA"/>
              </w:rPr>
            </w:pPr>
            <w:r>
              <w:rPr>
                <w:rFonts w:cs="Calibri"/>
                <w:b w:val="0"/>
                <w:bCs/>
                <w:color w:val="FFFFFF" w:themeColor="background1"/>
                <w:sz w:val="16"/>
                <w:szCs w:val="16"/>
                <w:lang w:val="en-US" w:eastAsia="en-ZA"/>
              </w:rPr>
              <w:t>%</w:t>
            </w:r>
          </w:p>
        </w:tc>
      </w:tr>
      <w:tr w:rsidR="005A6DBB" w14:paraId="4D2C454D"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4DD6A67F"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Sanitation</w:t>
            </w:r>
          </w:p>
        </w:tc>
        <w:tc>
          <w:tcPr>
            <w:tcW w:w="856" w:type="pct"/>
            <w:tcBorders>
              <w:top w:val="nil"/>
              <w:bottom w:val="nil"/>
              <w:right w:val="single" w:sz="2" w:space="0" w:color="FFFFFF"/>
              <w:tl2br w:val="nil"/>
              <w:tr2bl w:val="nil"/>
            </w:tcBorders>
            <w:shd w:val="clear" w:color="auto" w:fill="D4E1ED"/>
            <w:noWrap/>
            <w:vAlign w:val="center"/>
          </w:tcPr>
          <w:p w14:paraId="3EBE4614"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Good - 71%-100%</w:t>
            </w:r>
          </w:p>
        </w:tc>
        <w:tc>
          <w:tcPr>
            <w:tcW w:w="0" w:type="pct"/>
            <w:tcBorders>
              <w:top w:val="nil"/>
              <w:bottom w:val="nil"/>
              <w:right w:val="single" w:sz="2" w:space="0" w:color="FFFFFF"/>
              <w:tl2br w:val="nil"/>
              <w:tr2bl w:val="nil"/>
            </w:tcBorders>
            <w:shd w:val="clear" w:color="auto" w:fill="D4E1ED"/>
            <w:noWrap/>
            <w:vAlign w:val="center"/>
          </w:tcPr>
          <w:p w14:paraId="2493555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79 854</w:t>
            </w:r>
          </w:p>
        </w:tc>
        <w:tc>
          <w:tcPr>
            <w:tcW w:w="0" w:type="pct"/>
            <w:tcBorders>
              <w:top w:val="nil"/>
              <w:bottom w:val="nil"/>
              <w:right w:val="single" w:sz="2" w:space="0" w:color="FFFFFF"/>
              <w:tl2br w:val="nil"/>
              <w:tr2bl w:val="nil"/>
            </w:tcBorders>
            <w:shd w:val="clear" w:color="auto" w:fill="D4E1ED"/>
            <w:noWrap/>
            <w:vAlign w:val="center"/>
          </w:tcPr>
          <w:p w14:paraId="433DCFE9"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57.44%</w:t>
            </w:r>
          </w:p>
        </w:tc>
        <w:tc>
          <w:tcPr>
            <w:tcW w:w="1085" w:type="pct"/>
            <w:tcBorders>
              <w:top w:val="nil"/>
              <w:bottom w:val="nil"/>
              <w:right w:val="single" w:sz="2" w:space="0" w:color="FFFFFF"/>
              <w:tl2br w:val="nil"/>
              <w:tr2bl w:val="nil"/>
            </w:tcBorders>
            <w:shd w:val="clear" w:color="auto" w:fill="D4E1ED"/>
            <w:noWrap/>
            <w:vAlign w:val="center"/>
          </w:tcPr>
          <w:p w14:paraId="355DE74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R1 951 415 183</w:t>
            </w:r>
          </w:p>
        </w:tc>
        <w:tc>
          <w:tcPr>
            <w:tcW w:w="781" w:type="pct"/>
            <w:tcBorders>
              <w:top w:val="nil"/>
              <w:bottom w:val="nil"/>
              <w:right w:val="single" w:sz="2" w:space="0" w:color="FFFFFF"/>
              <w:tl2br w:val="nil"/>
              <w:tr2bl w:val="nil"/>
            </w:tcBorders>
            <w:shd w:val="clear" w:color="auto" w:fill="D4E1ED"/>
            <w:noWrap/>
            <w:vAlign w:val="center"/>
          </w:tcPr>
          <w:p w14:paraId="6E7F3DA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R1 663 566 993</w:t>
            </w:r>
          </w:p>
        </w:tc>
        <w:tc>
          <w:tcPr>
            <w:tcW w:w="0" w:type="pct"/>
            <w:tcBorders>
              <w:top w:val="nil"/>
              <w:bottom w:val="nil"/>
              <w:right w:val="nil"/>
              <w:tl2br w:val="nil"/>
              <w:tr2bl w:val="nil"/>
            </w:tcBorders>
            <w:shd w:val="clear" w:color="auto" w:fill="D4E1ED"/>
            <w:noWrap/>
          </w:tcPr>
          <w:p w14:paraId="226D10D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0998558B"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366B671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515F18E6"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Good - 36%-70%</w:t>
            </w:r>
          </w:p>
        </w:tc>
        <w:tc>
          <w:tcPr>
            <w:tcW w:w="0" w:type="pct"/>
            <w:tcBorders>
              <w:top w:val="nil"/>
              <w:bottom w:val="nil"/>
              <w:right w:val="single" w:sz="2" w:space="0" w:color="FFFFFF"/>
              <w:tl2br w:val="nil"/>
              <w:tr2bl w:val="nil"/>
            </w:tcBorders>
            <w:shd w:val="clear" w:color="auto" w:fill="BED3E4"/>
            <w:noWrap/>
            <w:vAlign w:val="center"/>
          </w:tcPr>
          <w:p w14:paraId="484B2232"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48 424</w:t>
            </w:r>
          </w:p>
        </w:tc>
        <w:tc>
          <w:tcPr>
            <w:tcW w:w="0" w:type="pct"/>
            <w:tcBorders>
              <w:top w:val="nil"/>
              <w:bottom w:val="nil"/>
              <w:right w:val="single" w:sz="2" w:space="0" w:color="FFFFFF"/>
              <w:tl2br w:val="nil"/>
              <w:tr2bl w:val="nil"/>
            </w:tcBorders>
            <w:shd w:val="clear" w:color="auto" w:fill="BED3E4"/>
            <w:noWrap/>
            <w:vAlign w:val="center"/>
          </w:tcPr>
          <w:p w14:paraId="056BAE8F"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34.83%</w:t>
            </w:r>
          </w:p>
        </w:tc>
        <w:tc>
          <w:tcPr>
            <w:tcW w:w="1085" w:type="pct"/>
            <w:tcBorders>
              <w:top w:val="nil"/>
              <w:bottom w:val="nil"/>
              <w:right w:val="single" w:sz="2" w:space="0" w:color="FFFFFF"/>
              <w:tl2br w:val="nil"/>
              <w:tr2bl w:val="nil"/>
            </w:tcBorders>
            <w:shd w:val="clear" w:color="auto" w:fill="BED3E4"/>
            <w:noWrap/>
            <w:vAlign w:val="center"/>
          </w:tcPr>
          <w:p w14:paraId="0F1467F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R1 166 581 031</w:t>
            </w:r>
          </w:p>
        </w:tc>
        <w:tc>
          <w:tcPr>
            <w:tcW w:w="781" w:type="pct"/>
            <w:tcBorders>
              <w:top w:val="nil"/>
              <w:bottom w:val="nil"/>
              <w:right w:val="single" w:sz="2" w:space="0" w:color="FFFFFF"/>
              <w:tl2br w:val="nil"/>
              <w:tr2bl w:val="nil"/>
            </w:tcBorders>
            <w:shd w:val="clear" w:color="auto" w:fill="BED3E4"/>
            <w:noWrap/>
            <w:vAlign w:val="center"/>
          </w:tcPr>
          <w:p w14:paraId="1CE605B1"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R693 292 901</w:t>
            </w:r>
          </w:p>
        </w:tc>
        <w:tc>
          <w:tcPr>
            <w:tcW w:w="0" w:type="pct"/>
            <w:tcBorders>
              <w:top w:val="nil"/>
              <w:bottom w:val="nil"/>
              <w:right w:val="nil"/>
              <w:tl2br w:val="nil"/>
              <w:tr2bl w:val="nil"/>
            </w:tcBorders>
            <w:shd w:val="clear" w:color="auto" w:fill="BED3E4"/>
            <w:noWrap/>
          </w:tcPr>
          <w:p w14:paraId="3F75144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4D823038"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3416763C"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5CC2B33D"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Fair - 16%-35%</w:t>
            </w:r>
          </w:p>
        </w:tc>
        <w:tc>
          <w:tcPr>
            <w:tcW w:w="0" w:type="pct"/>
            <w:tcBorders>
              <w:top w:val="nil"/>
              <w:bottom w:val="nil"/>
              <w:right w:val="single" w:sz="2" w:space="0" w:color="FFFFFF"/>
              <w:tl2br w:val="nil"/>
              <w:tr2bl w:val="nil"/>
            </w:tcBorders>
            <w:shd w:val="clear" w:color="auto" w:fill="D4E1ED"/>
            <w:noWrap/>
            <w:vAlign w:val="center"/>
          </w:tcPr>
          <w:p w14:paraId="3463040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2 400</w:t>
            </w:r>
          </w:p>
        </w:tc>
        <w:tc>
          <w:tcPr>
            <w:tcW w:w="0" w:type="pct"/>
            <w:tcBorders>
              <w:top w:val="nil"/>
              <w:bottom w:val="nil"/>
              <w:right w:val="single" w:sz="2" w:space="0" w:color="FFFFFF"/>
              <w:tl2br w:val="nil"/>
              <w:tr2bl w:val="nil"/>
            </w:tcBorders>
            <w:shd w:val="clear" w:color="auto" w:fill="D4E1ED"/>
            <w:noWrap/>
            <w:vAlign w:val="center"/>
          </w:tcPr>
          <w:p w14:paraId="559E445A"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1.73%</w:t>
            </w:r>
          </w:p>
        </w:tc>
        <w:tc>
          <w:tcPr>
            <w:tcW w:w="1085" w:type="pct"/>
            <w:tcBorders>
              <w:top w:val="nil"/>
              <w:bottom w:val="nil"/>
              <w:right w:val="single" w:sz="2" w:space="0" w:color="FFFFFF"/>
              <w:tl2br w:val="nil"/>
              <w:tr2bl w:val="nil"/>
            </w:tcBorders>
            <w:shd w:val="clear" w:color="auto" w:fill="D4E1ED"/>
            <w:noWrap/>
            <w:vAlign w:val="center"/>
          </w:tcPr>
          <w:p w14:paraId="33B1194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R179 773 866</w:t>
            </w:r>
          </w:p>
        </w:tc>
        <w:tc>
          <w:tcPr>
            <w:tcW w:w="781" w:type="pct"/>
            <w:tcBorders>
              <w:top w:val="nil"/>
              <w:bottom w:val="nil"/>
              <w:right w:val="single" w:sz="2" w:space="0" w:color="FFFFFF"/>
              <w:tl2br w:val="nil"/>
              <w:tr2bl w:val="nil"/>
            </w:tcBorders>
            <w:shd w:val="clear" w:color="auto" w:fill="D4E1ED"/>
            <w:noWrap/>
            <w:vAlign w:val="center"/>
          </w:tcPr>
          <w:p w14:paraId="2C2441F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R54 296 655</w:t>
            </w:r>
          </w:p>
        </w:tc>
        <w:tc>
          <w:tcPr>
            <w:tcW w:w="0" w:type="pct"/>
            <w:tcBorders>
              <w:top w:val="nil"/>
              <w:bottom w:val="nil"/>
              <w:right w:val="nil"/>
              <w:tl2br w:val="nil"/>
              <w:tr2bl w:val="nil"/>
            </w:tcBorders>
            <w:shd w:val="clear" w:color="auto" w:fill="D4E1ED"/>
            <w:noWrap/>
          </w:tcPr>
          <w:p w14:paraId="060373E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6E4017EE"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1680C33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64CECE67"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Poor - 1%-15%</w:t>
            </w:r>
          </w:p>
        </w:tc>
        <w:tc>
          <w:tcPr>
            <w:tcW w:w="0" w:type="pct"/>
            <w:tcBorders>
              <w:top w:val="nil"/>
              <w:bottom w:val="nil"/>
              <w:right w:val="single" w:sz="2" w:space="0" w:color="FFFFFF"/>
              <w:tl2br w:val="nil"/>
              <w:tr2bl w:val="nil"/>
            </w:tcBorders>
            <w:shd w:val="clear" w:color="auto" w:fill="BED3E4"/>
            <w:noWrap/>
            <w:vAlign w:val="center"/>
          </w:tcPr>
          <w:p w14:paraId="6CD13E0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7 973</w:t>
            </w:r>
          </w:p>
        </w:tc>
        <w:tc>
          <w:tcPr>
            <w:tcW w:w="0" w:type="pct"/>
            <w:tcBorders>
              <w:top w:val="nil"/>
              <w:bottom w:val="nil"/>
              <w:right w:val="single" w:sz="2" w:space="0" w:color="FFFFFF"/>
              <w:tl2br w:val="nil"/>
              <w:tr2bl w:val="nil"/>
            </w:tcBorders>
            <w:shd w:val="clear" w:color="auto" w:fill="BED3E4"/>
            <w:noWrap/>
            <w:vAlign w:val="center"/>
          </w:tcPr>
          <w:p w14:paraId="3246637F"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5.73%</w:t>
            </w:r>
          </w:p>
        </w:tc>
        <w:tc>
          <w:tcPr>
            <w:tcW w:w="1085" w:type="pct"/>
            <w:tcBorders>
              <w:top w:val="nil"/>
              <w:bottom w:val="nil"/>
              <w:right w:val="single" w:sz="2" w:space="0" w:color="FFFFFF"/>
              <w:tl2br w:val="nil"/>
              <w:tr2bl w:val="nil"/>
            </w:tcBorders>
            <w:shd w:val="clear" w:color="auto" w:fill="BED3E4"/>
            <w:noWrap/>
            <w:vAlign w:val="center"/>
          </w:tcPr>
          <w:p w14:paraId="5163D2D5"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R245 001 085</w:t>
            </w:r>
          </w:p>
        </w:tc>
        <w:tc>
          <w:tcPr>
            <w:tcW w:w="781" w:type="pct"/>
            <w:tcBorders>
              <w:top w:val="nil"/>
              <w:bottom w:val="nil"/>
              <w:right w:val="single" w:sz="2" w:space="0" w:color="FFFFFF"/>
              <w:tl2br w:val="nil"/>
              <w:tr2bl w:val="nil"/>
            </w:tcBorders>
            <w:shd w:val="clear" w:color="auto" w:fill="BED3E4"/>
            <w:noWrap/>
            <w:vAlign w:val="center"/>
          </w:tcPr>
          <w:p w14:paraId="7D9C0B1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R16 137 916</w:t>
            </w:r>
          </w:p>
        </w:tc>
        <w:tc>
          <w:tcPr>
            <w:tcW w:w="0" w:type="pct"/>
            <w:tcBorders>
              <w:top w:val="nil"/>
              <w:bottom w:val="nil"/>
              <w:right w:val="nil"/>
              <w:tl2br w:val="nil"/>
              <w:tr2bl w:val="nil"/>
            </w:tcBorders>
            <w:shd w:val="clear" w:color="auto" w:fill="BED3E4"/>
            <w:noWrap/>
          </w:tcPr>
          <w:p w14:paraId="66629020"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37D5F7BA"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2BE2EC6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3B94682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Poor - 0%</w:t>
            </w:r>
          </w:p>
        </w:tc>
        <w:tc>
          <w:tcPr>
            <w:tcW w:w="0" w:type="pct"/>
            <w:tcBorders>
              <w:top w:val="nil"/>
              <w:bottom w:val="nil"/>
              <w:right w:val="single" w:sz="2" w:space="0" w:color="FFFFFF"/>
              <w:tl2br w:val="nil"/>
              <w:tr2bl w:val="nil"/>
            </w:tcBorders>
            <w:shd w:val="clear" w:color="auto" w:fill="D4E1ED"/>
            <w:noWrap/>
            <w:vAlign w:val="center"/>
          </w:tcPr>
          <w:p w14:paraId="476CDBF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379</w:t>
            </w:r>
          </w:p>
        </w:tc>
        <w:tc>
          <w:tcPr>
            <w:tcW w:w="0" w:type="pct"/>
            <w:tcBorders>
              <w:top w:val="nil"/>
              <w:bottom w:val="nil"/>
              <w:right w:val="single" w:sz="2" w:space="0" w:color="FFFFFF"/>
              <w:tl2br w:val="nil"/>
              <w:tr2bl w:val="nil"/>
            </w:tcBorders>
            <w:shd w:val="clear" w:color="auto" w:fill="D4E1ED"/>
            <w:noWrap/>
            <w:vAlign w:val="center"/>
          </w:tcPr>
          <w:p w14:paraId="363E675F"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0.27%</w:t>
            </w:r>
          </w:p>
        </w:tc>
        <w:tc>
          <w:tcPr>
            <w:tcW w:w="1085" w:type="pct"/>
            <w:tcBorders>
              <w:top w:val="nil"/>
              <w:bottom w:val="nil"/>
              <w:right w:val="single" w:sz="2" w:space="0" w:color="FFFFFF"/>
              <w:tl2br w:val="nil"/>
              <w:tr2bl w:val="nil"/>
            </w:tcBorders>
            <w:shd w:val="clear" w:color="auto" w:fill="D4E1ED"/>
            <w:noWrap/>
            <w:vAlign w:val="center"/>
          </w:tcPr>
          <w:p w14:paraId="1310718B"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R3 505 280</w:t>
            </w:r>
          </w:p>
        </w:tc>
        <w:tc>
          <w:tcPr>
            <w:tcW w:w="781" w:type="pct"/>
            <w:tcBorders>
              <w:top w:val="nil"/>
              <w:bottom w:val="nil"/>
              <w:right w:val="single" w:sz="2" w:space="0" w:color="FFFFFF"/>
              <w:tl2br w:val="nil"/>
              <w:tr2bl w:val="nil"/>
            </w:tcBorders>
            <w:shd w:val="clear" w:color="auto" w:fill="D4E1ED"/>
            <w:noWrap/>
            <w:vAlign w:val="center"/>
          </w:tcPr>
          <w:p w14:paraId="78E0A6A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R4 819</w:t>
            </w:r>
          </w:p>
        </w:tc>
        <w:tc>
          <w:tcPr>
            <w:tcW w:w="0" w:type="pct"/>
            <w:tcBorders>
              <w:top w:val="nil"/>
              <w:bottom w:val="nil"/>
              <w:right w:val="nil"/>
              <w:tl2br w:val="nil"/>
              <w:tr2bl w:val="nil"/>
            </w:tcBorders>
            <w:shd w:val="clear" w:color="auto" w:fill="D4E1ED"/>
            <w:noWrap/>
          </w:tcPr>
          <w:p w14:paraId="5D66479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685CE936"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268D5C0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18117BDA"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Totals</w:t>
            </w:r>
          </w:p>
        </w:tc>
        <w:tc>
          <w:tcPr>
            <w:tcW w:w="0" w:type="pct"/>
            <w:tcBorders>
              <w:top w:val="nil"/>
              <w:bottom w:val="nil"/>
              <w:right w:val="single" w:sz="2" w:space="0" w:color="FFFFFF"/>
              <w:tl2br w:val="nil"/>
              <w:tr2bl w:val="nil"/>
            </w:tcBorders>
            <w:shd w:val="clear" w:color="auto" w:fill="BED3E4"/>
            <w:noWrap/>
            <w:vAlign w:val="center"/>
          </w:tcPr>
          <w:p w14:paraId="71C909D9"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139 030</w:t>
            </w:r>
          </w:p>
        </w:tc>
        <w:tc>
          <w:tcPr>
            <w:tcW w:w="0" w:type="pct"/>
            <w:tcBorders>
              <w:top w:val="nil"/>
              <w:bottom w:val="nil"/>
              <w:right w:val="single" w:sz="2" w:space="0" w:color="FFFFFF"/>
              <w:tl2br w:val="nil"/>
              <w:tr2bl w:val="nil"/>
            </w:tcBorders>
            <w:shd w:val="clear" w:color="auto" w:fill="BED3E4"/>
            <w:noWrap/>
            <w:vAlign w:val="center"/>
          </w:tcPr>
          <w:p w14:paraId="488BB7C0" w14:textId="77777777" w:rsidR="005A6DBB" w:rsidRDefault="00F93099">
            <w:pPr>
              <w:spacing w:before="120" w:after="120" w:line="240" w:lineRule="auto"/>
              <w:jc w:val="center"/>
              <w:rPr>
                <w:rFonts w:cs="Calibri"/>
                <w:b/>
                <w:bCs/>
                <w:color w:val="000000"/>
                <w:sz w:val="16"/>
                <w:szCs w:val="16"/>
                <w:lang w:val="en-US" w:eastAsia="en-ZA"/>
              </w:rPr>
            </w:pPr>
            <w:r>
              <w:rPr>
                <w:rFonts w:cs="Calibri"/>
                <w:b/>
                <w:bCs/>
                <w:color w:val="000000"/>
                <w:sz w:val="16"/>
                <w:szCs w:val="16"/>
                <w:lang w:val="en-US" w:eastAsia="en-ZA"/>
              </w:rPr>
              <w:t>100,00%</w:t>
            </w:r>
          </w:p>
        </w:tc>
        <w:tc>
          <w:tcPr>
            <w:tcW w:w="1085" w:type="pct"/>
            <w:tcBorders>
              <w:top w:val="nil"/>
              <w:bottom w:val="nil"/>
              <w:right w:val="single" w:sz="2" w:space="0" w:color="FFFFFF"/>
              <w:tl2br w:val="nil"/>
              <w:tr2bl w:val="nil"/>
            </w:tcBorders>
            <w:shd w:val="clear" w:color="auto" w:fill="BED3E4"/>
            <w:noWrap/>
            <w:vAlign w:val="center"/>
          </w:tcPr>
          <w:p w14:paraId="33152C93"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R3 546 276 446.56</w:t>
            </w:r>
          </w:p>
        </w:tc>
        <w:tc>
          <w:tcPr>
            <w:tcW w:w="781" w:type="pct"/>
            <w:tcBorders>
              <w:top w:val="nil"/>
              <w:bottom w:val="nil"/>
              <w:right w:val="single" w:sz="2" w:space="0" w:color="FFFFFF"/>
              <w:tl2br w:val="nil"/>
              <w:tr2bl w:val="nil"/>
            </w:tcBorders>
            <w:shd w:val="clear" w:color="auto" w:fill="BED3E4"/>
            <w:noWrap/>
            <w:vAlign w:val="center"/>
          </w:tcPr>
          <w:p w14:paraId="4E5BC57D"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R2 427 299 286.26</w:t>
            </w:r>
          </w:p>
        </w:tc>
        <w:tc>
          <w:tcPr>
            <w:tcW w:w="0" w:type="pct"/>
            <w:tcBorders>
              <w:top w:val="nil"/>
              <w:bottom w:val="nil"/>
              <w:right w:val="nil"/>
              <w:tl2br w:val="nil"/>
              <w:tr2bl w:val="nil"/>
            </w:tcBorders>
            <w:shd w:val="clear" w:color="auto" w:fill="BED3E4"/>
            <w:noWrap/>
          </w:tcPr>
          <w:p w14:paraId="31B42E31"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68.45%</w:t>
            </w:r>
          </w:p>
        </w:tc>
      </w:tr>
      <w:tr w:rsidR="005A6DBB" w14:paraId="5E2E83B0"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4F6BAD89"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Water</w:t>
            </w:r>
          </w:p>
        </w:tc>
        <w:tc>
          <w:tcPr>
            <w:tcW w:w="856" w:type="pct"/>
            <w:tcBorders>
              <w:top w:val="nil"/>
              <w:bottom w:val="nil"/>
              <w:right w:val="single" w:sz="2" w:space="0" w:color="FFFFFF"/>
              <w:tl2br w:val="nil"/>
              <w:tr2bl w:val="nil"/>
            </w:tcBorders>
            <w:shd w:val="clear" w:color="auto" w:fill="D4E1ED"/>
            <w:noWrap/>
            <w:vAlign w:val="center"/>
          </w:tcPr>
          <w:p w14:paraId="70ED3057"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Good - 71%-100%</w:t>
            </w:r>
          </w:p>
        </w:tc>
        <w:tc>
          <w:tcPr>
            <w:tcW w:w="0" w:type="pct"/>
            <w:tcBorders>
              <w:top w:val="nil"/>
              <w:bottom w:val="nil"/>
              <w:right w:val="single" w:sz="2" w:space="0" w:color="FFFFFF"/>
              <w:tl2br w:val="nil"/>
              <w:tr2bl w:val="nil"/>
            </w:tcBorders>
            <w:shd w:val="clear" w:color="auto" w:fill="D4E1ED"/>
            <w:noWrap/>
            <w:vAlign w:val="center"/>
          </w:tcPr>
          <w:p w14:paraId="5664760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16 523</w:t>
            </w:r>
          </w:p>
        </w:tc>
        <w:tc>
          <w:tcPr>
            <w:tcW w:w="0" w:type="pct"/>
            <w:tcBorders>
              <w:top w:val="nil"/>
              <w:bottom w:val="nil"/>
              <w:right w:val="single" w:sz="2" w:space="0" w:color="FFFFFF"/>
              <w:tl2br w:val="nil"/>
              <w:tr2bl w:val="nil"/>
            </w:tcBorders>
            <w:shd w:val="clear" w:color="auto" w:fill="D4E1ED"/>
            <w:noWrap/>
            <w:vAlign w:val="center"/>
          </w:tcPr>
          <w:p w14:paraId="67121269"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58.84%</w:t>
            </w:r>
          </w:p>
        </w:tc>
        <w:tc>
          <w:tcPr>
            <w:tcW w:w="1085" w:type="pct"/>
            <w:tcBorders>
              <w:top w:val="nil"/>
              <w:bottom w:val="nil"/>
              <w:right w:val="single" w:sz="2" w:space="0" w:color="FFFFFF"/>
              <w:tl2br w:val="nil"/>
              <w:tr2bl w:val="nil"/>
            </w:tcBorders>
            <w:shd w:val="clear" w:color="auto" w:fill="D4E1ED"/>
            <w:noWrap/>
            <w:vAlign w:val="center"/>
          </w:tcPr>
          <w:p w14:paraId="3B5934B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R1 182 972 801</w:t>
            </w:r>
          </w:p>
        </w:tc>
        <w:tc>
          <w:tcPr>
            <w:tcW w:w="781" w:type="pct"/>
            <w:tcBorders>
              <w:top w:val="nil"/>
              <w:bottom w:val="nil"/>
              <w:right w:val="single" w:sz="2" w:space="0" w:color="FFFFFF"/>
              <w:tl2br w:val="nil"/>
              <w:tr2bl w:val="nil"/>
            </w:tcBorders>
            <w:shd w:val="clear" w:color="auto" w:fill="D4E1ED"/>
            <w:noWrap/>
            <w:vAlign w:val="center"/>
          </w:tcPr>
          <w:p w14:paraId="68491465"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R938 051 307</w:t>
            </w:r>
          </w:p>
        </w:tc>
        <w:tc>
          <w:tcPr>
            <w:tcW w:w="0" w:type="pct"/>
            <w:tcBorders>
              <w:top w:val="nil"/>
              <w:bottom w:val="nil"/>
              <w:right w:val="nil"/>
              <w:tl2br w:val="nil"/>
              <w:tr2bl w:val="nil"/>
            </w:tcBorders>
            <w:shd w:val="clear" w:color="auto" w:fill="D4E1ED"/>
            <w:noWrap/>
          </w:tcPr>
          <w:p w14:paraId="56A04972"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42FEF3DC"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397ED8A5"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524A0663"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Good - 36%-70%</w:t>
            </w:r>
          </w:p>
        </w:tc>
        <w:tc>
          <w:tcPr>
            <w:tcW w:w="0" w:type="pct"/>
            <w:tcBorders>
              <w:top w:val="nil"/>
              <w:bottom w:val="nil"/>
              <w:right w:val="single" w:sz="2" w:space="0" w:color="FFFFFF"/>
              <w:tl2br w:val="nil"/>
              <w:tr2bl w:val="nil"/>
            </w:tcBorders>
            <w:shd w:val="clear" w:color="auto" w:fill="BED3E4"/>
            <w:noWrap/>
            <w:vAlign w:val="center"/>
          </w:tcPr>
          <w:p w14:paraId="7CE3D2A3"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6 470</w:t>
            </w:r>
          </w:p>
        </w:tc>
        <w:tc>
          <w:tcPr>
            <w:tcW w:w="0" w:type="pct"/>
            <w:tcBorders>
              <w:top w:val="nil"/>
              <w:bottom w:val="nil"/>
              <w:right w:val="single" w:sz="2" w:space="0" w:color="FFFFFF"/>
              <w:tl2br w:val="nil"/>
              <w:tr2bl w:val="nil"/>
            </w:tcBorders>
            <w:shd w:val="clear" w:color="auto" w:fill="BED3E4"/>
            <w:noWrap/>
            <w:vAlign w:val="center"/>
          </w:tcPr>
          <w:p w14:paraId="4B14ACC7"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23.04%</w:t>
            </w:r>
          </w:p>
        </w:tc>
        <w:tc>
          <w:tcPr>
            <w:tcW w:w="1085" w:type="pct"/>
            <w:tcBorders>
              <w:top w:val="nil"/>
              <w:bottom w:val="nil"/>
              <w:right w:val="single" w:sz="2" w:space="0" w:color="FFFFFF"/>
              <w:tl2br w:val="nil"/>
              <w:tr2bl w:val="nil"/>
            </w:tcBorders>
            <w:shd w:val="clear" w:color="auto" w:fill="BED3E4"/>
            <w:noWrap/>
            <w:vAlign w:val="center"/>
          </w:tcPr>
          <w:p w14:paraId="733527FB"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R782 102 904</w:t>
            </w:r>
          </w:p>
        </w:tc>
        <w:tc>
          <w:tcPr>
            <w:tcW w:w="781" w:type="pct"/>
            <w:tcBorders>
              <w:top w:val="nil"/>
              <w:bottom w:val="nil"/>
              <w:right w:val="single" w:sz="2" w:space="0" w:color="FFFFFF"/>
              <w:tl2br w:val="nil"/>
              <w:tr2bl w:val="nil"/>
            </w:tcBorders>
            <w:shd w:val="clear" w:color="auto" w:fill="BED3E4"/>
            <w:noWrap/>
            <w:vAlign w:val="center"/>
          </w:tcPr>
          <w:p w14:paraId="594BB24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R431 639 056</w:t>
            </w:r>
          </w:p>
        </w:tc>
        <w:tc>
          <w:tcPr>
            <w:tcW w:w="0" w:type="pct"/>
            <w:tcBorders>
              <w:top w:val="nil"/>
              <w:bottom w:val="nil"/>
              <w:right w:val="nil"/>
              <w:tl2br w:val="nil"/>
              <w:tr2bl w:val="nil"/>
            </w:tcBorders>
            <w:shd w:val="clear" w:color="auto" w:fill="BED3E4"/>
            <w:noWrap/>
          </w:tcPr>
          <w:p w14:paraId="480355C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7F8AE3A0"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49DE11B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675A8EA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Fair - 16%-35%</w:t>
            </w:r>
          </w:p>
        </w:tc>
        <w:tc>
          <w:tcPr>
            <w:tcW w:w="0" w:type="pct"/>
            <w:tcBorders>
              <w:top w:val="nil"/>
              <w:bottom w:val="nil"/>
              <w:right w:val="single" w:sz="2" w:space="0" w:color="FFFFFF"/>
              <w:tl2br w:val="nil"/>
              <w:tr2bl w:val="nil"/>
            </w:tcBorders>
            <w:shd w:val="clear" w:color="auto" w:fill="D4E1ED"/>
            <w:noWrap/>
            <w:vAlign w:val="center"/>
          </w:tcPr>
          <w:p w14:paraId="18201342"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1 709</w:t>
            </w:r>
          </w:p>
        </w:tc>
        <w:tc>
          <w:tcPr>
            <w:tcW w:w="0" w:type="pct"/>
            <w:tcBorders>
              <w:top w:val="nil"/>
              <w:bottom w:val="nil"/>
              <w:right w:val="single" w:sz="2" w:space="0" w:color="FFFFFF"/>
              <w:tl2br w:val="nil"/>
              <w:tr2bl w:val="nil"/>
            </w:tcBorders>
            <w:shd w:val="clear" w:color="auto" w:fill="D4E1ED"/>
            <w:noWrap/>
            <w:vAlign w:val="center"/>
          </w:tcPr>
          <w:p w14:paraId="218F9C5A"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6.09%</w:t>
            </w:r>
          </w:p>
        </w:tc>
        <w:tc>
          <w:tcPr>
            <w:tcW w:w="1085" w:type="pct"/>
            <w:tcBorders>
              <w:top w:val="nil"/>
              <w:bottom w:val="nil"/>
              <w:right w:val="single" w:sz="2" w:space="0" w:color="FFFFFF"/>
              <w:tl2br w:val="nil"/>
              <w:tr2bl w:val="nil"/>
            </w:tcBorders>
            <w:shd w:val="clear" w:color="auto" w:fill="D4E1ED"/>
            <w:noWrap/>
            <w:vAlign w:val="center"/>
          </w:tcPr>
          <w:p w14:paraId="1D6DE63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R171 301 459</w:t>
            </w:r>
          </w:p>
        </w:tc>
        <w:tc>
          <w:tcPr>
            <w:tcW w:w="781" w:type="pct"/>
            <w:tcBorders>
              <w:top w:val="nil"/>
              <w:bottom w:val="nil"/>
              <w:right w:val="single" w:sz="2" w:space="0" w:color="FFFFFF"/>
              <w:tl2br w:val="nil"/>
              <w:tr2bl w:val="nil"/>
            </w:tcBorders>
            <w:shd w:val="clear" w:color="auto" w:fill="D4E1ED"/>
            <w:noWrap/>
            <w:vAlign w:val="center"/>
          </w:tcPr>
          <w:p w14:paraId="1C258454"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R56 774 666</w:t>
            </w:r>
          </w:p>
        </w:tc>
        <w:tc>
          <w:tcPr>
            <w:tcW w:w="0" w:type="pct"/>
            <w:tcBorders>
              <w:top w:val="nil"/>
              <w:bottom w:val="nil"/>
              <w:right w:val="nil"/>
              <w:tl2br w:val="nil"/>
              <w:tr2bl w:val="nil"/>
            </w:tcBorders>
            <w:shd w:val="clear" w:color="auto" w:fill="D4E1ED"/>
            <w:noWrap/>
          </w:tcPr>
          <w:p w14:paraId="665254C4"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79DA8196"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0E4B7E12"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01301F4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Poor - 1%-15%</w:t>
            </w:r>
          </w:p>
        </w:tc>
        <w:tc>
          <w:tcPr>
            <w:tcW w:w="0" w:type="pct"/>
            <w:tcBorders>
              <w:top w:val="nil"/>
              <w:bottom w:val="nil"/>
              <w:right w:val="single" w:sz="2" w:space="0" w:color="FFFFFF"/>
              <w:tl2br w:val="nil"/>
              <w:tr2bl w:val="nil"/>
            </w:tcBorders>
            <w:shd w:val="clear" w:color="auto" w:fill="BED3E4"/>
            <w:noWrap/>
            <w:vAlign w:val="center"/>
          </w:tcPr>
          <w:p w14:paraId="2E2CBD1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3 167</w:t>
            </w:r>
          </w:p>
        </w:tc>
        <w:tc>
          <w:tcPr>
            <w:tcW w:w="0" w:type="pct"/>
            <w:tcBorders>
              <w:top w:val="nil"/>
              <w:bottom w:val="nil"/>
              <w:right w:val="single" w:sz="2" w:space="0" w:color="FFFFFF"/>
              <w:tl2br w:val="nil"/>
              <w:tr2bl w:val="nil"/>
            </w:tcBorders>
            <w:shd w:val="clear" w:color="auto" w:fill="BED3E4"/>
            <w:noWrap/>
            <w:vAlign w:val="center"/>
          </w:tcPr>
          <w:p w14:paraId="055FBE9B"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11.28%</w:t>
            </w:r>
          </w:p>
        </w:tc>
        <w:tc>
          <w:tcPr>
            <w:tcW w:w="1085" w:type="pct"/>
            <w:tcBorders>
              <w:top w:val="nil"/>
              <w:bottom w:val="nil"/>
              <w:right w:val="single" w:sz="2" w:space="0" w:color="FFFFFF"/>
              <w:tl2br w:val="nil"/>
              <w:tr2bl w:val="nil"/>
            </w:tcBorders>
            <w:shd w:val="clear" w:color="auto" w:fill="BED3E4"/>
            <w:noWrap/>
            <w:vAlign w:val="center"/>
          </w:tcPr>
          <w:p w14:paraId="452000B6"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R387 014 296</w:t>
            </w:r>
          </w:p>
        </w:tc>
        <w:tc>
          <w:tcPr>
            <w:tcW w:w="781" w:type="pct"/>
            <w:tcBorders>
              <w:top w:val="nil"/>
              <w:bottom w:val="nil"/>
              <w:right w:val="single" w:sz="2" w:space="0" w:color="FFFFFF"/>
              <w:tl2br w:val="nil"/>
              <w:tr2bl w:val="nil"/>
            </w:tcBorders>
            <w:shd w:val="clear" w:color="auto" w:fill="BED3E4"/>
            <w:noWrap/>
            <w:vAlign w:val="center"/>
          </w:tcPr>
          <w:p w14:paraId="77C81161"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R16 528 317</w:t>
            </w:r>
          </w:p>
        </w:tc>
        <w:tc>
          <w:tcPr>
            <w:tcW w:w="0" w:type="pct"/>
            <w:tcBorders>
              <w:top w:val="nil"/>
              <w:bottom w:val="nil"/>
              <w:right w:val="nil"/>
              <w:tl2br w:val="nil"/>
              <w:tr2bl w:val="nil"/>
            </w:tcBorders>
            <w:shd w:val="clear" w:color="auto" w:fill="BED3E4"/>
            <w:noWrap/>
          </w:tcPr>
          <w:p w14:paraId="514FB4D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4E15B683"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4EAA48A2"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75B1537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Poor - 0%</w:t>
            </w:r>
          </w:p>
        </w:tc>
        <w:tc>
          <w:tcPr>
            <w:tcW w:w="0" w:type="pct"/>
            <w:tcBorders>
              <w:top w:val="nil"/>
              <w:bottom w:val="nil"/>
              <w:right w:val="single" w:sz="2" w:space="0" w:color="FFFFFF"/>
              <w:tl2br w:val="nil"/>
              <w:tr2bl w:val="nil"/>
            </w:tcBorders>
            <w:shd w:val="clear" w:color="auto" w:fill="D4E1ED"/>
            <w:noWrap/>
            <w:vAlign w:val="center"/>
          </w:tcPr>
          <w:p w14:paraId="2EDC6D5A"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213</w:t>
            </w:r>
          </w:p>
        </w:tc>
        <w:tc>
          <w:tcPr>
            <w:tcW w:w="0" w:type="pct"/>
            <w:tcBorders>
              <w:top w:val="nil"/>
              <w:bottom w:val="nil"/>
              <w:right w:val="single" w:sz="2" w:space="0" w:color="FFFFFF"/>
              <w:tl2br w:val="nil"/>
              <w:tr2bl w:val="nil"/>
            </w:tcBorders>
            <w:shd w:val="clear" w:color="auto" w:fill="D4E1ED"/>
            <w:noWrap/>
            <w:vAlign w:val="center"/>
          </w:tcPr>
          <w:p w14:paraId="595BDD40"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0.76%</w:t>
            </w:r>
          </w:p>
        </w:tc>
        <w:tc>
          <w:tcPr>
            <w:tcW w:w="1085" w:type="pct"/>
            <w:tcBorders>
              <w:top w:val="nil"/>
              <w:bottom w:val="nil"/>
              <w:right w:val="single" w:sz="2" w:space="0" w:color="FFFFFF"/>
              <w:tl2br w:val="nil"/>
              <w:tr2bl w:val="nil"/>
            </w:tcBorders>
            <w:shd w:val="clear" w:color="auto" w:fill="D4E1ED"/>
            <w:noWrap/>
            <w:vAlign w:val="center"/>
          </w:tcPr>
          <w:p w14:paraId="3443CBF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R5 429 284</w:t>
            </w:r>
          </w:p>
        </w:tc>
        <w:tc>
          <w:tcPr>
            <w:tcW w:w="781" w:type="pct"/>
            <w:tcBorders>
              <w:top w:val="nil"/>
              <w:bottom w:val="nil"/>
              <w:right w:val="single" w:sz="2" w:space="0" w:color="FFFFFF"/>
              <w:tl2br w:val="nil"/>
              <w:tr2bl w:val="nil"/>
            </w:tcBorders>
            <w:shd w:val="clear" w:color="auto" w:fill="D4E1ED"/>
            <w:noWrap/>
            <w:vAlign w:val="center"/>
          </w:tcPr>
          <w:p w14:paraId="27F5D71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R17 243</w:t>
            </w:r>
          </w:p>
        </w:tc>
        <w:tc>
          <w:tcPr>
            <w:tcW w:w="0" w:type="pct"/>
            <w:tcBorders>
              <w:top w:val="nil"/>
              <w:bottom w:val="nil"/>
              <w:right w:val="nil"/>
              <w:tl2br w:val="nil"/>
              <w:tr2bl w:val="nil"/>
            </w:tcBorders>
            <w:shd w:val="clear" w:color="auto" w:fill="D4E1ED"/>
            <w:noWrap/>
          </w:tcPr>
          <w:p w14:paraId="1D4A7FC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194BA881"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32078DA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66D296EF"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Totals</w:t>
            </w:r>
          </w:p>
        </w:tc>
        <w:tc>
          <w:tcPr>
            <w:tcW w:w="0" w:type="pct"/>
            <w:tcBorders>
              <w:top w:val="nil"/>
              <w:bottom w:val="nil"/>
              <w:right w:val="single" w:sz="2" w:space="0" w:color="FFFFFF"/>
              <w:tl2br w:val="nil"/>
              <w:tr2bl w:val="nil"/>
            </w:tcBorders>
            <w:shd w:val="clear" w:color="auto" w:fill="BED3E4"/>
            <w:noWrap/>
            <w:vAlign w:val="center"/>
          </w:tcPr>
          <w:p w14:paraId="37F54968"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28 082</w:t>
            </w:r>
          </w:p>
        </w:tc>
        <w:tc>
          <w:tcPr>
            <w:tcW w:w="0" w:type="pct"/>
            <w:tcBorders>
              <w:top w:val="nil"/>
              <w:bottom w:val="nil"/>
              <w:right w:val="single" w:sz="2" w:space="0" w:color="FFFFFF"/>
              <w:tl2br w:val="nil"/>
              <w:tr2bl w:val="nil"/>
            </w:tcBorders>
            <w:shd w:val="clear" w:color="auto" w:fill="BED3E4"/>
            <w:noWrap/>
            <w:vAlign w:val="center"/>
          </w:tcPr>
          <w:p w14:paraId="580DFAEA" w14:textId="77777777" w:rsidR="005A6DBB" w:rsidRDefault="005A6DBB">
            <w:pPr>
              <w:spacing w:before="120" w:after="120" w:line="240" w:lineRule="auto"/>
              <w:jc w:val="center"/>
              <w:rPr>
                <w:rFonts w:cs="Calibri"/>
                <w:b/>
                <w:bCs/>
                <w:color w:val="000000"/>
                <w:sz w:val="16"/>
                <w:szCs w:val="16"/>
                <w:lang w:val="en-US" w:eastAsia="en-ZA"/>
              </w:rPr>
            </w:pPr>
          </w:p>
        </w:tc>
        <w:tc>
          <w:tcPr>
            <w:tcW w:w="1085" w:type="pct"/>
            <w:tcBorders>
              <w:top w:val="nil"/>
              <w:bottom w:val="nil"/>
              <w:right w:val="single" w:sz="2" w:space="0" w:color="FFFFFF"/>
              <w:tl2br w:val="nil"/>
              <w:tr2bl w:val="nil"/>
            </w:tcBorders>
            <w:shd w:val="clear" w:color="auto" w:fill="BED3E4"/>
            <w:noWrap/>
            <w:vAlign w:val="center"/>
          </w:tcPr>
          <w:p w14:paraId="2B5FBE92"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R2 528 820 747</w:t>
            </w:r>
          </w:p>
        </w:tc>
        <w:tc>
          <w:tcPr>
            <w:tcW w:w="781" w:type="pct"/>
            <w:tcBorders>
              <w:top w:val="nil"/>
              <w:bottom w:val="nil"/>
              <w:right w:val="single" w:sz="2" w:space="0" w:color="FFFFFF"/>
              <w:tl2br w:val="nil"/>
              <w:tr2bl w:val="nil"/>
            </w:tcBorders>
            <w:shd w:val="clear" w:color="auto" w:fill="BED3E4"/>
            <w:noWrap/>
            <w:vAlign w:val="center"/>
          </w:tcPr>
          <w:p w14:paraId="131EBF88"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R1 443 010 591</w:t>
            </w:r>
          </w:p>
        </w:tc>
        <w:tc>
          <w:tcPr>
            <w:tcW w:w="0" w:type="pct"/>
            <w:tcBorders>
              <w:top w:val="nil"/>
              <w:bottom w:val="nil"/>
              <w:right w:val="nil"/>
              <w:tl2br w:val="nil"/>
              <w:tr2bl w:val="nil"/>
            </w:tcBorders>
            <w:shd w:val="clear" w:color="auto" w:fill="BED3E4"/>
            <w:noWrap/>
          </w:tcPr>
          <w:p w14:paraId="1DA68BBE"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57.06%</w:t>
            </w:r>
          </w:p>
        </w:tc>
      </w:tr>
      <w:tr w:rsidR="005A6DBB" w14:paraId="0051B804"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068C2459"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Roads</w:t>
            </w:r>
          </w:p>
        </w:tc>
        <w:tc>
          <w:tcPr>
            <w:tcW w:w="856" w:type="pct"/>
            <w:tcBorders>
              <w:top w:val="nil"/>
              <w:bottom w:val="nil"/>
              <w:right w:val="single" w:sz="2" w:space="0" w:color="FFFFFF"/>
              <w:tl2br w:val="nil"/>
              <w:tr2bl w:val="nil"/>
            </w:tcBorders>
            <w:shd w:val="clear" w:color="auto" w:fill="D4E1ED"/>
            <w:noWrap/>
            <w:vAlign w:val="center"/>
          </w:tcPr>
          <w:p w14:paraId="495B28B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Good - 71%-100%</w:t>
            </w:r>
          </w:p>
        </w:tc>
        <w:tc>
          <w:tcPr>
            <w:tcW w:w="0" w:type="pct"/>
            <w:tcBorders>
              <w:top w:val="nil"/>
              <w:bottom w:val="nil"/>
              <w:right w:val="single" w:sz="2" w:space="0" w:color="FFFFFF"/>
              <w:tl2br w:val="nil"/>
              <w:tr2bl w:val="nil"/>
            </w:tcBorders>
            <w:shd w:val="clear" w:color="auto" w:fill="D4E1ED"/>
            <w:noWrap/>
            <w:vAlign w:val="center"/>
          </w:tcPr>
          <w:p w14:paraId="49370CF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3 708</w:t>
            </w:r>
          </w:p>
        </w:tc>
        <w:tc>
          <w:tcPr>
            <w:tcW w:w="0" w:type="pct"/>
            <w:tcBorders>
              <w:top w:val="nil"/>
              <w:bottom w:val="nil"/>
              <w:right w:val="single" w:sz="2" w:space="0" w:color="FFFFFF"/>
              <w:tl2br w:val="nil"/>
              <w:tr2bl w:val="nil"/>
            </w:tcBorders>
            <w:shd w:val="clear" w:color="auto" w:fill="D4E1ED"/>
            <w:noWrap/>
            <w:vAlign w:val="center"/>
          </w:tcPr>
          <w:p w14:paraId="5FFA2B70"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6.72%</w:t>
            </w:r>
          </w:p>
        </w:tc>
        <w:tc>
          <w:tcPr>
            <w:tcW w:w="1085" w:type="pct"/>
            <w:tcBorders>
              <w:top w:val="nil"/>
              <w:bottom w:val="nil"/>
              <w:right w:val="single" w:sz="2" w:space="0" w:color="FFFFFF"/>
              <w:tl2br w:val="nil"/>
              <w:tr2bl w:val="nil"/>
            </w:tcBorders>
            <w:shd w:val="clear" w:color="auto" w:fill="D4E1ED"/>
            <w:noWrap/>
            <w:vAlign w:val="center"/>
          </w:tcPr>
          <w:p w14:paraId="1B61464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R1 112 583 722</w:t>
            </w:r>
          </w:p>
        </w:tc>
        <w:tc>
          <w:tcPr>
            <w:tcW w:w="781" w:type="pct"/>
            <w:tcBorders>
              <w:top w:val="nil"/>
              <w:bottom w:val="nil"/>
              <w:right w:val="single" w:sz="2" w:space="0" w:color="FFFFFF"/>
              <w:tl2br w:val="nil"/>
              <w:tr2bl w:val="nil"/>
            </w:tcBorders>
            <w:shd w:val="clear" w:color="auto" w:fill="D4E1ED"/>
            <w:noWrap/>
            <w:vAlign w:val="center"/>
          </w:tcPr>
          <w:p w14:paraId="7DD0C19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R1 048 047 373</w:t>
            </w:r>
          </w:p>
        </w:tc>
        <w:tc>
          <w:tcPr>
            <w:tcW w:w="0" w:type="pct"/>
            <w:tcBorders>
              <w:top w:val="nil"/>
              <w:bottom w:val="nil"/>
              <w:right w:val="nil"/>
              <w:tl2br w:val="nil"/>
              <w:tr2bl w:val="nil"/>
            </w:tcBorders>
            <w:shd w:val="clear" w:color="auto" w:fill="D4E1ED"/>
            <w:noWrap/>
          </w:tcPr>
          <w:p w14:paraId="4C9EB9F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75F1A5AA"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5A0D1F2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44713A1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Good - 36%-70%</w:t>
            </w:r>
          </w:p>
        </w:tc>
        <w:tc>
          <w:tcPr>
            <w:tcW w:w="0" w:type="pct"/>
            <w:tcBorders>
              <w:top w:val="nil"/>
              <w:bottom w:val="nil"/>
              <w:right w:val="single" w:sz="2" w:space="0" w:color="FFFFFF"/>
              <w:tl2br w:val="nil"/>
              <w:tr2bl w:val="nil"/>
            </w:tcBorders>
            <w:shd w:val="clear" w:color="auto" w:fill="BED3E4"/>
            <w:noWrap/>
            <w:vAlign w:val="center"/>
          </w:tcPr>
          <w:p w14:paraId="46CE768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7 466</w:t>
            </w:r>
          </w:p>
        </w:tc>
        <w:tc>
          <w:tcPr>
            <w:tcW w:w="0" w:type="pct"/>
            <w:tcBorders>
              <w:top w:val="nil"/>
              <w:bottom w:val="nil"/>
              <w:right w:val="single" w:sz="2" w:space="0" w:color="FFFFFF"/>
              <w:tl2br w:val="nil"/>
              <w:tr2bl w:val="nil"/>
            </w:tcBorders>
            <w:shd w:val="clear" w:color="auto" w:fill="BED3E4"/>
            <w:noWrap/>
            <w:vAlign w:val="center"/>
          </w:tcPr>
          <w:p w14:paraId="79A6ABCD"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13.52%</w:t>
            </w:r>
          </w:p>
        </w:tc>
        <w:tc>
          <w:tcPr>
            <w:tcW w:w="1085" w:type="pct"/>
            <w:tcBorders>
              <w:top w:val="nil"/>
              <w:bottom w:val="nil"/>
              <w:right w:val="single" w:sz="2" w:space="0" w:color="FFFFFF"/>
              <w:tl2br w:val="nil"/>
              <w:tr2bl w:val="nil"/>
            </w:tcBorders>
            <w:shd w:val="clear" w:color="auto" w:fill="BED3E4"/>
            <w:noWrap/>
            <w:vAlign w:val="center"/>
          </w:tcPr>
          <w:p w14:paraId="0A19DA9A"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R1 245 392 070</w:t>
            </w:r>
          </w:p>
        </w:tc>
        <w:tc>
          <w:tcPr>
            <w:tcW w:w="781" w:type="pct"/>
            <w:tcBorders>
              <w:top w:val="nil"/>
              <w:bottom w:val="nil"/>
              <w:right w:val="single" w:sz="2" w:space="0" w:color="FFFFFF"/>
              <w:tl2br w:val="nil"/>
              <w:tr2bl w:val="nil"/>
            </w:tcBorders>
            <w:shd w:val="clear" w:color="auto" w:fill="BED3E4"/>
            <w:noWrap/>
            <w:vAlign w:val="center"/>
          </w:tcPr>
          <w:p w14:paraId="1CE3F4A1"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R681 745 114</w:t>
            </w:r>
          </w:p>
        </w:tc>
        <w:tc>
          <w:tcPr>
            <w:tcW w:w="0" w:type="pct"/>
            <w:tcBorders>
              <w:top w:val="nil"/>
              <w:bottom w:val="nil"/>
              <w:right w:val="nil"/>
              <w:tl2br w:val="nil"/>
              <w:tr2bl w:val="nil"/>
            </w:tcBorders>
            <w:shd w:val="clear" w:color="auto" w:fill="BED3E4"/>
            <w:noWrap/>
          </w:tcPr>
          <w:p w14:paraId="702C7E2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615448D1"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526D6DC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4B1A6C33"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Fair - 16%-35%</w:t>
            </w:r>
          </w:p>
        </w:tc>
        <w:tc>
          <w:tcPr>
            <w:tcW w:w="0" w:type="pct"/>
            <w:tcBorders>
              <w:top w:val="nil"/>
              <w:bottom w:val="nil"/>
              <w:right w:val="single" w:sz="2" w:space="0" w:color="FFFFFF"/>
              <w:tl2br w:val="nil"/>
              <w:tr2bl w:val="nil"/>
            </w:tcBorders>
            <w:shd w:val="clear" w:color="auto" w:fill="D4E1ED"/>
            <w:noWrap/>
            <w:vAlign w:val="center"/>
          </w:tcPr>
          <w:p w14:paraId="4FB5BDBD"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8 358</w:t>
            </w:r>
          </w:p>
        </w:tc>
        <w:tc>
          <w:tcPr>
            <w:tcW w:w="0" w:type="pct"/>
            <w:tcBorders>
              <w:top w:val="nil"/>
              <w:bottom w:val="nil"/>
              <w:right w:val="single" w:sz="2" w:space="0" w:color="FFFFFF"/>
              <w:tl2br w:val="nil"/>
              <w:tr2bl w:val="nil"/>
            </w:tcBorders>
            <w:shd w:val="clear" w:color="auto" w:fill="D4E1ED"/>
            <w:noWrap/>
            <w:vAlign w:val="center"/>
          </w:tcPr>
          <w:p w14:paraId="0A3CD401"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15.14%</w:t>
            </w:r>
          </w:p>
        </w:tc>
        <w:tc>
          <w:tcPr>
            <w:tcW w:w="1085" w:type="pct"/>
            <w:tcBorders>
              <w:top w:val="nil"/>
              <w:bottom w:val="nil"/>
              <w:right w:val="single" w:sz="2" w:space="0" w:color="FFFFFF"/>
              <w:tl2br w:val="nil"/>
              <w:tr2bl w:val="nil"/>
            </w:tcBorders>
            <w:shd w:val="clear" w:color="auto" w:fill="D4E1ED"/>
            <w:noWrap/>
            <w:vAlign w:val="center"/>
          </w:tcPr>
          <w:p w14:paraId="5A9DE3C2"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R776 513 017</w:t>
            </w:r>
          </w:p>
        </w:tc>
        <w:tc>
          <w:tcPr>
            <w:tcW w:w="781" w:type="pct"/>
            <w:tcBorders>
              <w:top w:val="nil"/>
              <w:bottom w:val="nil"/>
              <w:right w:val="single" w:sz="2" w:space="0" w:color="FFFFFF"/>
              <w:tl2br w:val="nil"/>
              <w:tr2bl w:val="nil"/>
            </w:tcBorders>
            <w:shd w:val="clear" w:color="auto" w:fill="D4E1ED"/>
            <w:noWrap/>
            <w:vAlign w:val="center"/>
          </w:tcPr>
          <w:p w14:paraId="7637688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R177 725 333</w:t>
            </w:r>
          </w:p>
        </w:tc>
        <w:tc>
          <w:tcPr>
            <w:tcW w:w="0" w:type="pct"/>
            <w:tcBorders>
              <w:top w:val="nil"/>
              <w:bottom w:val="nil"/>
              <w:right w:val="nil"/>
              <w:tl2br w:val="nil"/>
              <w:tr2bl w:val="nil"/>
            </w:tcBorders>
            <w:shd w:val="clear" w:color="auto" w:fill="D4E1ED"/>
            <w:noWrap/>
          </w:tcPr>
          <w:p w14:paraId="46B3230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4C298365"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797A625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671CDEA8"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Poor - 1%-15%</w:t>
            </w:r>
          </w:p>
        </w:tc>
        <w:tc>
          <w:tcPr>
            <w:tcW w:w="0" w:type="pct"/>
            <w:tcBorders>
              <w:top w:val="nil"/>
              <w:bottom w:val="nil"/>
              <w:right w:val="single" w:sz="2" w:space="0" w:color="FFFFFF"/>
              <w:tl2br w:val="nil"/>
              <w:tr2bl w:val="nil"/>
            </w:tcBorders>
            <w:shd w:val="clear" w:color="auto" w:fill="BED3E4"/>
            <w:noWrap/>
            <w:vAlign w:val="center"/>
          </w:tcPr>
          <w:p w14:paraId="5996AE84"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34 706</w:t>
            </w:r>
          </w:p>
        </w:tc>
        <w:tc>
          <w:tcPr>
            <w:tcW w:w="0" w:type="pct"/>
            <w:tcBorders>
              <w:top w:val="nil"/>
              <w:bottom w:val="nil"/>
              <w:right w:val="single" w:sz="2" w:space="0" w:color="FFFFFF"/>
              <w:tl2br w:val="nil"/>
              <w:tr2bl w:val="nil"/>
            </w:tcBorders>
            <w:shd w:val="clear" w:color="auto" w:fill="BED3E4"/>
            <w:noWrap/>
            <w:vAlign w:val="center"/>
          </w:tcPr>
          <w:p w14:paraId="04B1F5D8"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62.86%</w:t>
            </w:r>
          </w:p>
        </w:tc>
        <w:tc>
          <w:tcPr>
            <w:tcW w:w="1085" w:type="pct"/>
            <w:tcBorders>
              <w:top w:val="nil"/>
              <w:bottom w:val="nil"/>
              <w:right w:val="single" w:sz="2" w:space="0" w:color="FFFFFF"/>
              <w:tl2br w:val="nil"/>
              <w:tr2bl w:val="nil"/>
            </w:tcBorders>
            <w:shd w:val="clear" w:color="auto" w:fill="BED3E4"/>
            <w:noWrap/>
            <w:vAlign w:val="center"/>
          </w:tcPr>
          <w:p w14:paraId="3A31048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R1 660 921 168</w:t>
            </w:r>
          </w:p>
        </w:tc>
        <w:tc>
          <w:tcPr>
            <w:tcW w:w="781" w:type="pct"/>
            <w:tcBorders>
              <w:top w:val="nil"/>
              <w:bottom w:val="nil"/>
              <w:right w:val="single" w:sz="2" w:space="0" w:color="FFFFFF"/>
              <w:tl2br w:val="nil"/>
              <w:tr2bl w:val="nil"/>
            </w:tcBorders>
            <w:shd w:val="clear" w:color="auto" w:fill="BED3E4"/>
            <w:noWrap/>
            <w:vAlign w:val="center"/>
          </w:tcPr>
          <w:p w14:paraId="0588B86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R120 605 060</w:t>
            </w:r>
          </w:p>
        </w:tc>
        <w:tc>
          <w:tcPr>
            <w:tcW w:w="0" w:type="pct"/>
            <w:tcBorders>
              <w:top w:val="nil"/>
              <w:bottom w:val="nil"/>
              <w:right w:val="nil"/>
              <w:tl2br w:val="nil"/>
              <w:tr2bl w:val="nil"/>
            </w:tcBorders>
            <w:shd w:val="clear" w:color="auto" w:fill="BED3E4"/>
            <w:noWrap/>
          </w:tcPr>
          <w:p w14:paraId="6917ABD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7EAEEF39"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6FA29D6B"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4C7E0902"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Poor - 0%</w:t>
            </w:r>
          </w:p>
        </w:tc>
        <w:tc>
          <w:tcPr>
            <w:tcW w:w="0" w:type="pct"/>
            <w:tcBorders>
              <w:top w:val="nil"/>
              <w:bottom w:val="nil"/>
              <w:right w:val="single" w:sz="2" w:space="0" w:color="FFFFFF"/>
              <w:tl2br w:val="nil"/>
              <w:tr2bl w:val="nil"/>
            </w:tcBorders>
            <w:shd w:val="clear" w:color="auto" w:fill="D4E1ED"/>
            <w:noWrap/>
            <w:vAlign w:val="center"/>
          </w:tcPr>
          <w:p w14:paraId="1A2C646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973</w:t>
            </w:r>
          </w:p>
        </w:tc>
        <w:tc>
          <w:tcPr>
            <w:tcW w:w="0" w:type="pct"/>
            <w:tcBorders>
              <w:top w:val="nil"/>
              <w:bottom w:val="nil"/>
              <w:right w:val="single" w:sz="2" w:space="0" w:color="FFFFFF"/>
              <w:tl2br w:val="nil"/>
              <w:tr2bl w:val="nil"/>
            </w:tcBorders>
            <w:shd w:val="clear" w:color="auto" w:fill="D4E1ED"/>
            <w:noWrap/>
            <w:vAlign w:val="center"/>
          </w:tcPr>
          <w:p w14:paraId="341377C4"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1.76%</w:t>
            </w:r>
          </w:p>
        </w:tc>
        <w:tc>
          <w:tcPr>
            <w:tcW w:w="1085" w:type="pct"/>
            <w:tcBorders>
              <w:top w:val="nil"/>
              <w:bottom w:val="nil"/>
              <w:right w:val="single" w:sz="2" w:space="0" w:color="FFFFFF"/>
              <w:tl2br w:val="nil"/>
              <w:tr2bl w:val="nil"/>
            </w:tcBorders>
            <w:shd w:val="clear" w:color="auto" w:fill="D4E1ED"/>
            <w:noWrap/>
            <w:vAlign w:val="center"/>
          </w:tcPr>
          <w:p w14:paraId="69E6593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R10 565 953</w:t>
            </w:r>
          </w:p>
        </w:tc>
        <w:tc>
          <w:tcPr>
            <w:tcW w:w="781" w:type="pct"/>
            <w:tcBorders>
              <w:top w:val="nil"/>
              <w:bottom w:val="nil"/>
              <w:right w:val="single" w:sz="2" w:space="0" w:color="FFFFFF"/>
              <w:tl2br w:val="nil"/>
              <w:tr2bl w:val="nil"/>
            </w:tcBorders>
            <w:shd w:val="clear" w:color="auto" w:fill="D4E1ED"/>
            <w:noWrap/>
            <w:vAlign w:val="center"/>
          </w:tcPr>
          <w:p w14:paraId="44F989F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R41 398</w:t>
            </w:r>
          </w:p>
        </w:tc>
        <w:tc>
          <w:tcPr>
            <w:tcW w:w="0" w:type="pct"/>
            <w:tcBorders>
              <w:top w:val="nil"/>
              <w:bottom w:val="nil"/>
              <w:right w:val="nil"/>
              <w:tl2br w:val="nil"/>
              <w:tr2bl w:val="nil"/>
            </w:tcBorders>
            <w:shd w:val="clear" w:color="auto" w:fill="D4E1ED"/>
            <w:noWrap/>
          </w:tcPr>
          <w:p w14:paraId="342EB3A7"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30074284"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181C4A95"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1065E6C3"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Totals</w:t>
            </w:r>
          </w:p>
        </w:tc>
        <w:tc>
          <w:tcPr>
            <w:tcW w:w="0" w:type="pct"/>
            <w:tcBorders>
              <w:top w:val="nil"/>
              <w:bottom w:val="nil"/>
              <w:right w:val="single" w:sz="2" w:space="0" w:color="FFFFFF"/>
              <w:tl2br w:val="nil"/>
              <w:tr2bl w:val="nil"/>
            </w:tcBorders>
            <w:shd w:val="clear" w:color="auto" w:fill="BED3E4"/>
            <w:noWrap/>
            <w:vAlign w:val="center"/>
          </w:tcPr>
          <w:p w14:paraId="305275E5"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55 211</w:t>
            </w:r>
          </w:p>
        </w:tc>
        <w:tc>
          <w:tcPr>
            <w:tcW w:w="0" w:type="pct"/>
            <w:tcBorders>
              <w:top w:val="nil"/>
              <w:bottom w:val="nil"/>
              <w:right w:val="single" w:sz="2" w:space="0" w:color="FFFFFF"/>
              <w:tl2br w:val="nil"/>
              <w:tr2bl w:val="nil"/>
            </w:tcBorders>
            <w:shd w:val="clear" w:color="auto" w:fill="BED3E4"/>
            <w:noWrap/>
            <w:vAlign w:val="center"/>
          </w:tcPr>
          <w:p w14:paraId="6681AEBA" w14:textId="77777777" w:rsidR="005A6DBB" w:rsidRDefault="005A6DBB">
            <w:pPr>
              <w:spacing w:before="120" w:after="120" w:line="240" w:lineRule="auto"/>
              <w:jc w:val="center"/>
              <w:rPr>
                <w:rFonts w:cs="Calibri"/>
                <w:b/>
                <w:bCs/>
                <w:color w:val="000000"/>
                <w:sz w:val="16"/>
                <w:szCs w:val="16"/>
                <w:lang w:val="en-US" w:eastAsia="en-ZA"/>
              </w:rPr>
            </w:pPr>
          </w:p>
        </w:tc>
        <w:tc>
          <w:tcPr>
            <w:tcW w:w="1085" w:type="pct"/>
            <w:tcBorders>
              <w:top w:val="nil"/>
              <w:bottom w:val="nil"/>
              <w:right w:val="single" w:sz="2" w:space="0" w:color="FFFFFF"/>
              <w:tl2br w:val="nil"/>
              <w:tr2bl w:val="nil"/>
            </w:tcBorders>
            <w:shd w:val="clear" w:color="auto" w:fill="BED3E4"/>
            <w:noWrap/>
            <w:vAlign w:val="center"/>
          </w:tcPr>
          <w:p w14:paraId="1818FBED"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R4 805 975 932</w:t>
            </w:r>
          </w:p>
        </w:tc>
        <w:tc>
          <w:tcPr>
            <w:tcW w:w="781" w:type="pct"/>
            <w:tcBorders>
              <w:top w:val="nil"/>
              <w:bottom w:val="nil"/>
              <w:right w:val="single" w:sz="2" w:space="0" w:color="FFFFFF"/>
              <w:tl2br w:val="nil"/>
              <w:tr2bl w:val="nil"/>
            </w:tcBorders>
            <w:shd w:val="clear" w:color="auto" w:fill="BED3E4"/>
            <w:noWrap/>
            <w:vAlign w:val="center"/>
          </w:tcPr>
          <w:p w14:paraId="11856B39"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R2 028 164 279</w:t>
            </w:r>
          </w:p>
        </w:tc>
        <w:tc>
          <w:tcPr>
            <w:tcW w:w="0" w:type="pct"/>
            <w:tcBorders>
              <w:top w:val="nil"/>
              <w:bottom w:val="nil"/>
              <w:right w:val="nil"/>
              <w:tl2br w:val="nil"/>
              <w:tr2bl w:val="nil"/>
            </w:tcBorders>
            <w:shd w:val="clear" w:color="auto" w:fill="BED3E4"/>
            <w:noWrap/>
          </w:tcPr>
          <w:p w14:paraId="466F1F0E"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42.20%</w:t>
            </w:r>
          </w:p>
        </w:tc>
      </w:tr>
      <w:tr w:rsidR="005A6DBB" w14:paraId="2AE1ECCF"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218F810C"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Stormwater</w:t>
            </w:r>
          </w:p>
        </w:tc>
        <w:tc>
          <w:tcPr>
            <w:tcW w:w="856" w:type="pct"/>
            <w:tcBorders>
              <w:top w:val="nil"/>
              <w:bottom w:val="nil"/>
              <w:right w:val="single" w:sz="2" w:space="0" w:color="FFFFFF"/>
              <w:tl2br w:val="nil"/>
              <w:tr2bl w:val="nil"/>
            </w:tcBorders>
            <w:shd w:val="clear" w:color="auto" w:fill="D4E1ED"/>
            <w:noWrap/>
            <w:vAlign w:val="center"/>
          </w:tcPr>
          <w:p w14:paraId="19565A97"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Good - 71%-100%</w:t>
            </w:r>
          </w:p>
        </w:tc>
        <w:tc>
          <w:tcPr>
            <w:tcW w:w="0" w:type="pct"/>
            <w:tcBorders>
              <w:top w:val="nil"/>
              <w:bottom w:val="nil"/>
              <w:right w:val="single" w:sz="2" w:space="0" w:color="FFFFFF"/>
              <w:tl2br w:val="nil"/>
              <w:tr2bl w:val="nil"/>
            </w:tcBorders>
            <w:shd w:val="clear" w:color="auto" w:fill="D4E1ED"/>
            <w:noWrap/>
            <w:vAlign w:val="center"/>
          </w:tcPr>
          <w:p w14:paraId="20DE134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2 680</w:t>
            </w:r>
          </w:p>
        </w:tc>
        <w:tc>
          <w:tcPr>
            <w:tcW w:w="0" w:type="pct"/>
            <w:tcBorders>
              <w:top w:val="nil"/>
              <w:bottom w:val="nil"/>
              <w:right w:val="single" w:sz="2" w:space="0" w:color="FFFFFF"/>
              <w:tl2br w:val="nil"/>
              <w:tr2bl w:val="nil"/>
            </w:tcBorders>
            <w:shd w:val="clear" w:color="auto" w:fill="D4E1ED"/>
            <w:noWrap/>
            <w:vAlign w:val="center"/>
          </w:tcPr>
          <w:p w14:paraId="0297062E"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5.66%</w:t>
            </w:r>
          </w:p>
        </w:tc>
        <w:tc>
          <w:tcPr>
            <w:tcW w:w="1085" w:type="pct"/>
            <w:tcBorders>
              <w:top w:val="nil"/>
              <w:bottom w:val="nil"/>
              <w:right w:val="single" w:sz="2" w:space="0" w:color="FFFFFF"/>
              <w:tl2br w:val="nil"/>
              <w:tr2bl w:val="nil"/>
            </w:tcBorders>
            <w:shd w:val="clear" w:color="auto" w:fill="D4E1ED"/>
            <w:noWrap/>
            <w:vAlign w:val="center"/>
          </w:tcPr>
          <w:p w14:paraId="76D4D5B2"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R186 694 793</w:t>
            </w:r>
          </w:p>
        </w:tc>
        <w:tc>
          <w:tcPr>
            <w:tcW w:w="781" w:type="pct"/>
            <w:tcBorders>
              <w:top w:val="nil"/>
              <w:bottom w:val="nil"/>
              <w:right w:val="single" w:sz="2" w:space="0" w:color="FFFFFF"/>
              <w:tl2br w:val="nil"/>
              <w:tr2bl w:val="nil"/>
            </w:tcBorders>
            <w:shd w:val="clear" w:color="auto" w:fill="D4E1ED"/>
            <w:noWrap/>
            <w:vAlign w:val="center"/>
          </w:tcPr>
          <w:p w14:paraId="5E16F657"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R154 121 908</w:t>
            </w:r>
          </w:p>
        </w:tc>
        <w:tc>
          <w:tcPr>
            <w:tcW w:w="0" w:type="pct"/>
            <w:tcBorders>
              <w:top w:val="nil"/>
              <w:bottom w:val="nil"/>
              <w:right w:val="nil"/>
              <w:tl2br w:val="nil"/>
              <w:tr2bl w:val="nil"/>
            </w:tcBorders>
            <w:shd w:val="clear" w:color="auto" w:fill="D4E1ED"/>
            <w:noWrap/>
          </w:tcPr>
          <w:p w14:paraId="31F54EE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2FACBEEA"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38468DB4"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05B6F754"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Good - 36%-70%</w:t>
            </w:r>
          </w:p>
        </w:tc>
        <w:tc>
          <w:tcPr>
            <w:tcW w:w="0" w:type="pct"/>
            <w:tcBorders>
              <w:top w:val="nil"/>
              <w:bottom w:val="nil"/>
              <w:right w:val="single" w:sz="2" w:space="0" w:color="FFFFFF"/>
              <w:tl2br w:val="nil"/>
              <w:tr2bl w:val="nil"/>
            </w:tcBorders>
            <w:shd w:val="clear" w:color="auto" w:fill="BED3E4"/>
            <w:noWrap/>
            <w:vAlign w:val="center"/>
          </w:tcPr>
          <w:p w14:paraId="573B093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37 134</w:t>
            </w:r>
          </w:p>
        </w:tc>
        <w:tc>
          <w:tcPr>
            <w:tcW w:w="0" w:type="pct"/>
            <w:tcBorders>
              <w:top w:val="nil"/>
              <w:bottom w:val="nil"/>
              <w:right w:val="single" w:sz="2" w:space="0" w:color="FFFFFF"/>
              <w:tl2br w:val="nil"/>
              <w:tr2bl w:val="nil"/>
            </w:tcBorders>
            <w:shd w:val="clear" w:color="auto" w:fill="BED3E4"/>
            <w:noWrap/>
            <w:vAlign w:val="center"/>
          </w:tcPr>
          <w:p w14:paraId="0EDC4EB5"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78.40%</w:t>
            </w:r>
          </w:p>
        </w:tc>
        <w:tc>
          <w:tcPr>
            <w:tcW w:w="1085" w:type="pct"/>
            <w:tcBorders>
              <w:top w:val="nil"/>
              <w:bottom w:val="nil"/>
              <w:right w:val="single" w:sz="2" w:space="0" w:color="FFFFFF"/>
              <w:tl2br w:val="nil"/>
              <w:tr2bl w:val="nil"/>
            </w:tcBorders>
            <w:shd w:val="clear" w:color="auto" w:fill="BED3E4"/>
            <w:noWrap/>
            <w:vAlign w:val="center"/>
          </w:tcPr>
          <w:p w14:paraId="34C4282F"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R809 101 724</w:t>
            </w:r>
          </w:p>
        </w:tc>
        <w:tc>
          <w:tcPr>
            <w:tcW w:w="781" w:type="pct"/>
            <w:tcBorders>
              <w:top w:val="nil"/>
              <w:bottom w:val="nil"/>
              <w:right w:val="single" w:sz="2" w:space="0" w:color="FFFFFF"/>
              <w:tl2br w:val="nil"/>
              <w:tr2bl w:val="nil"/>
            </w:tcBorders>
            <w:shd w:val="clear" w:color="auto" w:fill="BED3E4"/>
            <w:noWrap/>
            <w:vAlign w:val="center"/>
          </w:tcPr>
          <w:p w14:paraId="64464FEA"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R454 870 078</w:t>
            </w:r>
          </w:p>
        </w:tc>
        <w:tc>
          <w:tcPr>
            <w:tcW w:w="0" w:type="pct"/>
            <w:tcBorders>
              <w:top w:val="nil"/>
              <w:bottom w:val="nil"/>
              <w:right w:val="nil"/>
              <w:tl2br w:val="nil"/>
              <w:tr2bl w:val="nil"/>
            </w:tcBorders>
            <w:shd w:val="clear" w:color="auto" w:fill="BED3E4"/>
            <w:noWrap/>
          </w:tcPr>
          <w:p w14:paraId="7874B0B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1B57E149"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1124EDDA"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50C58BAD"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Fair - 16%-35%</w:t>
            </w:r>
          </w:p>
        </w:tc>
        <w:tc>
          <w:tcPr>
            <w:tcW w:w="0" w:type="pct"/>
            <w:tcBorders>
              <w:top w:val="nil"/>
              <w:bottom w:val="nil"/>
              <w:right w:val="single" w:sz="2" w:space="0" w:color="FFFFFF"/>
              <w:tl2br w:val="nil"/>
              <w:tr2bl w:val="nil"/>
            </w:tcBorders>
            <w:shd w:val="clear" w:color="auto" w:fill="D4E1ED"/>
            <w:noWrap/>
            <w:vAlign w:val="center"/>
          </w:tcPr>
          <w:p w14:paraId="458C50A0"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2 573</w:t>
            </w:r>
          </w:p>
        </w:tc>
        <w:tc>
          <w:tcPr>
            <w:tcW w:w="0" w:type="pct"/>
            <w:tcBorders>
              <w:top w:val="nil"/>
              <w:bottom w:val="nil"/>
              <w:right w:val="single" w:sz="2" w:space="0" w:color="FFFFFF"/>
              <w:tl2br w:val="nil"/>
              <w:tr2bl w:val="nil"/>
            </w:tcBorders>
            <w:shd w:val="clear" w:color="auto" w:fill="D4E1ED"/>
            <w:noWrap/>
            <w:vAlign w:val="center"/>
          </w:tcPr>
          <w:p w14:paraId="32FDEFBB"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5.43%</w:t>
            </w:r>
          </w:p>
        </w:tc>
        <w:tc>
          <w:tcPr>
            <w:tcW w:w="1085" w:type="pct"/>
            <w:tcBorders>
              <w:top w:val="nil"/>
              <w:bottom w:val="nil"/>
              <w:right w:val="single" w:sz="2" w:space="0" w:color="FFFFFF"/>
              <w:tl2br w:val="nil"/>
              <w:tr2bl w:val="nil"/>
            </w:tcBorders>
            <w:shd w:val="clear" w:color="auto" w:fill="D4E1ED"/>
            <w:noWrap/>
            <w:vAlign w:val="center"/>
          </w:tcPr>
          <w:p w14:paraId="52E29819"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R11 248 585</w:t>
            </w:r>
          </w:p>
        </w:tc>
        <w:tc>
          <w:tcPr>
            <w:tcW w:w="781" w:type="pct"/>
            <w:tcBorders>
              <w:top w:val="nil"/>
              <w:bottom w:val="nil"/>
              <w:right w:val="single" w:sz="2" w:space="0" w:color="FFFFFF"/>
              <w:tl2br w:val="nil"/>
              <w:tr2bl w:val="nil"/>
            </w:tcBorders>
            <w:shd w:val="clear" w:color="auto" w:fill="D4E1ED"/>
            <w:noWrap/>
            <w:vAlign w:val="center"/>
          </w:tcPr>
          <w:p w14:paraId="59F1D5A4"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R2 818 258</w:t>
            </w:r>
          </w:p>
        </w:tc>
        <w:tc>
          <w:tcPr>
            <w:tcW w:w="0" w:type="pct"/>
            <w:tcBorders>
              <w:top w:val="nil"/>
              <w:bottom w:val="nil"/>
              <w:right w:val="nil"/>
              <w:tl2br w:val="nil"/>
              <w:tr2bl w:val="nil"/>
            </w:tcBorders>
            <w:shd w:val="clear" w:color="auto" w:fill="D4E1ED"/>
            <w:noWrap/>
          </w:tcPr>
          <w:p w14:paraId="2D9DD743"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2FE4E706"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156A6CFD"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2EE3D39E"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Poor - 1%-15%</w:t>
            </w:r>
          </w:p>
        </w:tc>
        <w:tc>
          <w:tcPr>
            <w:tcW w:w="0" w:type="pct"/>
            <w:tcBorders>
              <w:top w:val="nil"/>
              <w:bottom w:val="nil"/>
              <w:right w:val="single" w:sz="2" w:space="0" w:color="FFFFFF"/>
              <w:tl2br w:val="nil"/>
              <w:tr2bl w:val="nil"/>
            </w:tcBorders>
            <w:shd w:val="clear" w:color="auto" w:fill="BED3E4"/>
            <w:noWrap/>
            <w:vAlign w:val="center"/>
          </w:tcPr>
          <w:p w14:paraId="753A269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4 980</w:t>
            </w:r>
          </w:p>
        </w:tc>
        <w:tc>
          <w:tcPr>
            <w:tcW w:w="0" w:type="pct"/>
            <w:tcBorders>
              <w:top w:val="nil"/>
              <w:bottom w:val="nil"/>
              <w:right w:val="single" w:sz="2" w:space="0" w:color="FFFFFF"/>
              <w:tl2br w:val="nil"/>
              <w:tr2bl w:val="nil"/>
            </w:tcBorders>
            <w:shd w:val="clear" w:color="auto" w:fill="BED3E4"/>
            <w:noWrap/>
            <w:vAlign w:val="center"/>
          </w:tcPr>
          <w:p w14:paraId="52E77906"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10.51%</w:t>
            </w:r>
          </w:p>
        </w:tc>
        <w:tc>
          <w:tcPr>
            <w:tcW w:w="1085" w:type="pct"/>
            <w:tcBorders>
              <w:top w:val="nil"/>
              <w:bottom w:val="nil"/>
              <w:right w:val="single" w:sz="2" w:space="0" w:color="FFFFFF"/>
              <w:tl2br w:val="nil"/>
              <w:tr2bl w:val="nil"/>
            </w:tcBorders>
            <w:shd w:val="clear" w:color="auto" w:fill="BED3E4"/>
            <w:noWrap/>
            <w:vAlign w:val="center"/>
          </w:tcPr>
          <w:p w14:paraId="151AB2E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R21 534 102</w:t>
            </w:r>
          </w:p>
        </w:tc>
        <w:tc>
          <w:tcPr>
            <w:tcW w:w="781" w:type="pct"/>
            <w:tcBorders>
              <w:top w:val="nil"/>
              <w:bottom w:val="nil"/>
              <w:right w:val="single" w:sz="2" w:space="0" w:color="FFFFFF"/>
              <w:tl2br w:val="nil"/>
              <w:tr2bl w:val="nil"/>
            </w:tcBorders>
            <w:shd w:val="clear" w:color="auto" w:fill="BED3E4"/>
            <w:noWrap/>
            <w:vAlign w:val="center"/>
          </w:tcPr>
          <w:p w14:paraId="3C4ED61C"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R2 312 405</w:t>
            </w:r>
          </w:p>
        </w:tc>
        <w:tc>
          <w:tcPr>
            <w:tcW w:w="0" w:type="pct"/>
            <w:tcBorders>
              <w:top w:val="nil"/>
              <w:bottom w:val="nil"/>
              <w:right w:val="nil"/>
              <w:tl2br w:val="nil"/>
              <w:tr2bl w:val="nil"/>
            </w:tcBorders>
            <w:shd w:val="clear" w:color="auto" w:fill="BED3E4"/>
            <w:noWrap/>
          </w:tcPr>
          <w:p w14:paraId="3778C9DD"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1562972C" w14:textId="77777777" w:rsidTr="005A6DBB">
        <w:trPr>
          <w:trHeight w:val="300"/>
        </w:trPr>
        <w:tc>
          <w:tcPr>
            <w:tcW w:w="616" w:type="pct"/>
            <w:tcBorders>
              <w:top w:val="nil"/>
              <w:left w:val="nil"/>
              <w:bottom w:val="nil"/>
              <w:right w:val="single" w:sz="2" w:space="0" w:color="FFFFFF"/>
              <w:tl2br w:val="nil"/>
              <w:tr2bl w:val="nil"/>
            </w:tcBorders>
            <w:shd w:val="clear" w:color="auto" w:fill="D4E1ED"/>
            <w:noWrap/>
          </w:tcPr>
          <w:p w14:paraId="7B7F8C72"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D4E1ED"/>
            <w:noWrap/>
            <w:vAlign w:val="center"/>
          </w:tcPr>
          <w:p w14:paraId="673BE540"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Very Poor - 0%</w:t>
            </w:r>
          </w:p>
        </w:tc>
        <w:tc>
          <w:tcPr>
            <w:tcW w:w="0" w:type="pct"/>
            <w:tcBorders>
              <w:top w:val="nil"/>
              <w:bottom w:val="nil"/>
              <w:right w:val="single" w:sz="2" w:space="0" w:color="FFFFFF"/>
              <w:tl2br w:val="nil"/>
              <w:tr2bl w:val="nil"/>
            </w:tcBorders>
            <w:shd w:val="clear" w:color="auto" w:fill="D4E1ED"/>
            <w:noWrap/>
            <w:vAlign w:val="center"/>
          </w:tcPr>
          <w:p w14:paraId="7FD6C18E"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0</w:t>
            </w:r>
          </w:p>
        </w:tc>
        <w:tc>
          <w:tcPr>
            <w:tcW w:w="0" w:type="pct"/>
            <w:tcBorders>
              <w:top w:val="nil"/>
              <w:bottom w:val="nil"/>
              <w:right w:val="single" w:sz="2" w:space="0" w:color="FFFFFF"/>
              <w:tl2br w:val="nil"/>
              <w:tr2bl w:val="nil"/>
            </w:tcBorders>
            <w:shd w:val="clear" w:color="auto" w:fill="D4E1ED"/>
            <w:noWrap/>
            <w:vAlign w:val="center"/>
          </w:tcPr>
          <w:p w14:paraId="6CCC67B5" w14:textId="77777777" w:rsidR="005A6DBB" w:rsidRDefault="00F93099">
            <w:pPr>
              <w:spacing w:before="120" w:after="120" w:line="240" w:lineRule="auto"/>
              <w:jc w:val="center"/>
              <w:rPr>
                <w:rFonts w:cs="Calibri"/>
                <w:color w:val="000000"/>
                <w:sz w:val="16"/>
                <w:szCs w:val="16"/>
                <w:lang w:val="en-US" w:eastAsia="en-ZA"/>
              </w:rPr>
            </w:pPr>
            <w:r>
              <w:rPr>
                <w:rFonts w:cs="Calibri"/>
                <w:color w:val="000000"/>
                <w:sz w:val="16"/>
                <w:szCs w:val="16"/>
                <w:lang w:val="en-US" w:eastAsia="en-ZA"/>
              </w:rPr>
              <w:t>0.00%</w:t>
            </w:r>
          </w:p>
        </w:tc>
        <w:tc>
          <w:tcPr>
            <w:tcW w:w="1085" w:type="pct"/>
            <w:tcBorders>
              <w:top w:val="nil"/>
              <w:bottom w:val="nil"/>
              <w:right w:val="single" w:sz="2" w:space="0" w:color="FFFFFF"/>
              <w:tl2br w:val="nil"/>
              <w:tr2bl w:val="nil"/>
            </w:tcBorders>
            <w:shd w:val="clear" w:color="auto" w:fill="D4E1ED"/>
            <w:noWrap/>
            <w:vAlign w:val="center"/>
          </w:tcPr>
          <w:p w14:paraId="78B3862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R0.00</w:t>
            </w:r>
          </w:p>
        </w:tc>
        <w:tc>
          <w:tcPr>
            <w:tcW w:w="781" w:type="pct"/>
            <w:tcBorders>
              <w:top w:val="nil"/>
              <w:bottom w:val="nil"/>
              <w:right w:val="single" w:sz="2" w:space="0" w:color="FFFFFF"/>
              <w:tl2br w:val="nil"/>
              <w:tr2bl w:val="nil"/>
            </w:tcBorders>
            <w:shd w:val="clear" w:color="auto" w:fill="D4E1ED"/>
            <w:noWrap/>
            <w:vAlign w:val="center"/>
          </w:tcPr>
          <w:p w14:paraId="1A2EB308" w14:textId="77777777" w:rsidR="005A6DBB" w:rsidRDefault="00F93099">
            <w:pPr>
              <w:spacing w:before="120" w:after="120" w:line="240" w:lineRule="auto"/>
              <w:jc w:val="right"/>
              <w:rPr>
                <w:rFonts w:cs="Calibri"/>
                <w:color w:val="000000"/>
                <w:sz w:val="16"/>
                <w:szCs w:val="16"/>
                <w:lang w:val="en-US" w:eastAsia="en-ZA"/>
              </w:rPr>
            </w:pPr>
            <w:r>
              <w:rPr>
                <w:rFonts w:cs="Calibri"/>
                <w:color w:val="000000"/>
                <w:sz w:val="16"/>
                <w:szCs w:val="16"/>
                <w:lang w:val="en-US" w:eastAsia="en-ZA"/>
              </w:rPr>
              <w:t>R0.00</w:t>
            </w:r>
          </w:p>
        </w:tc>
        <w:tc>
          <w:tcPr>
            <w:tcW w:w="0" w:type="pct"/>
            <w:tcBorders>
              <w:top w:val="nil"/>
              <w:bottom w:val="nil"/>
              <w:right w:val="nil"/>
              <w:tl2br w:val="nil"/>
              <w:tr2bl w:val="nil"/>
            </w:tcBorders>
            <w:shd w:val="clear" w:color="auto" w:fill="D4E1ED"/>
            <w:noWrap/>
          </w:tcPr>
          <w:p w14:paraId="0C96EF2F"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r>
      <w:tr w:rsidR="005A6DBB" w14:paraId="4EF5EAB8" w14:textId="77777777" w:rsidTr="005A6DBB">
        <w:trPr>
          <w:trHeight w:val="300"/>
        </w:trPr>
        <w:tc>
          <w:tcPr>
            <w:tcW w:w="616" w:type="pct"/>
            <w:tcBorders>
              <w:top w:val="nil"/>
              <w:left w:val="nil"/>
              <w:bottom w:val="nil"/>
              <w:right w:val="single" w:sz="2" w:space="0" w:color="FFFFFF"/>
              <w:tl2br w:val="nil"/>
              <w:tr2bl w:val="nil"/>
            </w:tcBorders>
            <w:shd w:val="clear" w:color="auto" w:fill="BED3E4"/>
            <w:noWrap/>
          </w:tcPr>
          <w:p w14:paraId="024E3633" w14:textId="77777777" w:rsidR="005A6DBB" w:rsidRDefault="00F93099">
            <w:pPr>
              <w:spacing w:before="120" w:after="120" w:line="240" w:lineRule="auto"/>
              <w:jc w:val="left"/>
              <w:rPr>
                <w:rFonts w:cs="Calibri"/>
                <w:color w:val="000000"/>
                <w:sz w:val="16"/>
                <w:szCs w:val="16"/>
                <w:lang w:val="en-US" w:eastAsia="en-ZA"/>
              </w:rPr>
            </w:pPr>
            <w:r>
              <w:rPr>
                <w:rFonts w:cs="Calibri"/>
                <w:color w:val="000000"/>
                <w:sz w:val="16"/>
                <w:szCs w:val="16"/>
                <w:lang w:val="en-US" w:eastAsia="en-ZA"/>
              </w:rPr>
              <w:t> </w:t>
            </w:r>
          </w:p>
        </w:tc>
        <w:tc>
          <w:tcPr>
            <w:tcW w:w="856" w:type="pct"/>
            <w:tcBorders>
              <w:top w:val="nil"/>
              <w:bottom w:val="nil"/>
              <w:right w:val="single" w:sz="2" w:space="0" w:color="FFFFFF"/>
              <w:tl2br w:val="nil"/>
              <w:tr2bl w:val="nil"/>
            </w:tcBorders>
            <w:shd w:val="clear" w:color="auto" w:fill="BED3E4"/>
            <w:noWrap/>
            <w:vAlign w:val="center"/>
          </w:tcPr>
          <w:p w14:paraId="0D81F362" w14:textId="77777777" w:rsidR="005A6DBB" w:rsidRDefault="00F93099">
            <w:pPr>
              <w:spacing w:before="120" w:after="120" w:line="240" w:lineRule="auto"/>
              <w:jc w:val="left"/>
              <w:rPr>
                <w:rFonts w:cs="Calibri"/>
                <w:b/>
                <w:bCs/>
                <w:color w:val="000000"/>
                <w:sz w:val="16"/>
                <w:szCs w:val="16"/>
                <w:lang w:val="en-US" w:eastAsia="en-ZA"/>
              </w:rPr>
            </w:pPr>
            <w:r>
              <w:rPr>
                <w:rFonts w:cs="Calibri"/>
                <w:b/>
                <w:bCs/>
                <w:color w:val="000000"/>
                <w:sz w:val="16"/>
                <w:szCs w:val="16"/>
                <w:lang w:val="en-US" w:eastAsia="en-ZA"/>
              </w:rPr>
              <w:t>Totals</w:t>
            </w:r>
          </w:p>
        </w:tc>
        <w:tc>
          <w:tcPr>
            <w:tcW w:w="0" w:type="pct"/>
            <w:tcBorders>
              <w:top w:val="nil"/>
              <w:bottom w:val="nil"/>
              <w:right w:val="single" w:sz="2" w:space="0" w:color="FFFFFF"/>
              <w:tl2br w:val="nil"/>
              <w:tr2bl w:val="nil"/>
            </w:tcBorders>
            <w:shd w:val="clear" w:color="auto" w:fill="BED3E4"/>
            <w:noWrap/>
            <w:vAlign w:val="center"/>
          </w:tcPr>
          <w:p w14:paraId="4D62BA90"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47 367</w:t>
            </w:r>
          </w:p>
        </w:tc>
        <w:tc>
          <w:tcPr>
            <w:tcW w:w="0" w:type="pct"/>
            <w:tcBorders>
              <w:top w:val="nil"/>
              <w:bottom w:val="nil"/>
              <w:right w:val="single" w:sz="2" w:space="0" w:color="FFFFFF"/>
              <w:tl2br w:val="nil"/>
              <w:tr2bl w:val="nil"/>
            </w:tcBorders>
            <w:shd w:val="clear" w:color="auto" w:fill="BED3E4"/>
            <w:noWrap/>
            <w:vAlign w:val="center"/>
          </w:tcPr>
          <w:p w14:paraId="5F9C0D7D" w14:textId="77777777" w:rsidR="005A6DBB" w:rsidRDefault="005A6DBB">
            <w:pPr>
              <w:spacing w:before="120" w:after="120" w:line="240" w:lineRule="auto"/>
              <w:jc w:val="center"/>
              <w:rPr>
                <w:rFonts w:cs="Calibri"/>
                <w:b/>
                <w:bCs/>
                <w:color w:val="000000"/>
                <w:sz w:val="16"/>
                <w:szCs w:val="16"/>
                <w:lang w:val="en-US" w:eastAsia="en-ZA"/>
              </w:rPr>
            </w:pPr>
          </w:p>
        </w:tc>
        <w:tc>
          <w:tcPr>
            <w:tcW w:w="1085" w:type="pct"/>
            <w:tcBorders>
              <w:top w:val="nil"/>
              <w:bottom w:val="nil"/>
              <w:right w:val="single" w:sz="2" w:space="0" w:color="FFFFFF"/>
              <w:tl2br w:val="nil"/>
              <w:tr2bl w:val="nil"/>
            </w:tcBorders>
            <w:shd w:val="clear" w:color="auto" w:fill="BED3E4"/>
            <w:noWrap/>
            <w:vAlign w:val="center"/>
          </w:tcPr>
          <w:p w14:paraId="00BE52D3"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R1 028 579 205</w:t>
            </w:r>
          </w:p>
        </w:tc>
        <w:tc>
          <w:tcPr>
            <w:tcW w:w="781" w:type="pct"/>
            <w:tcBorders>
              <w:top w:val="nil"/>
              <w:bottom w:val="nil"/>
              <w:right w:val="single" w:sz="2" w:space="0" w:color="FFFFFF"/>
              <w:tl2br w:val="nil"/>
              <w:tr2bl w:val="nil"/>
            </w:tcBorders>
            <w:shd w:val="clear" w:color="auto" w:fill="BED3E4"/>
            <w:noWrap/>
            <w:vAlign w:val="center"/>
          </w:tcPr>
          <w:p w14:paraId="207C1709" w14:textId="77777777" w:rsidR="005A6DBB" w:rsidRDefault="00F93099">
            <w:pPr>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R614 122 650.83</w:t>
            </w:r>
          </w:p>
        </w:tc>
        <w:tc>
          <w:tcPr>
            <w:tcW w:w="0" w:type="pct"/>
            <w:tcBorders>
              <w:top w:val="nil"/>
              <w:bottom w:val="nil"/>
              <w:right w:val="nil"/>
              <w:tl2br w:val="nil"/>
              <w:tr2bl w:val="nil"/>
            </w:tcBorders>
            <w:shd w:val="clear" w:color="auto" w:fill="BED3E4"/>
            <w:noWrap/>
          </w:tcPr>
          <w:p w14:paraId="538C7874" w14:textId="77777777" w:rsidR="005A6DBB" w:rsidRDefault="00F93099">
            <w:pPr>
              <w:keepNext/>
              <w:spacing w:before="120" w:after="120" w:line="240" w:lineRule="auto"/>
              <w:jc w:val="right"/>
              <w:rPr>
                <w:rFonts w:cs="Calibri"/>
                <w:b/>
                <w:bCs/>
                <w:color w:val="000000"/>
                <w:sz w:val="16"/>
                <w:szCs w:val="16"/>
                <w:lang w:val="en-US" w:eastAsia="en-ZA"/>
              </w:rPr>
            </w:pPr>
            <w:r>
              <w:rPr>
                <w:rFonts w:cs="Calibri"/>
                <w:b/>
                <w:bCs/>
                <w:color w:val="000000"/>
                <w:sz w:val="16"/>
                <w:szCs w:val="16"/>
                <w:lang w:val="en-US" w:eastAsia="en-ZA"/>
              </w:rPr>
              <w:t>59.71%</w:t>
            </w:r>
          </w:p>
        </w:tc>
      </w:tr>
    </w:tbl>
    <w:p w14:paraId="4B3A7EA4" w14:textId="5F6A79BD" w:rsidR="005A6DBB" w:rsidRDefault="00F93099">
      <w:pPr>
        <w:pStyle w:val="Caption"/>
      </w:pPr>
      <w:r>
        <w:t xml:space="preserve">Table </w:t>
      </w:r>
      <w:r>
        <w:fldChar w:fldCharType="begin"/>
      </w:r>
      <w:r>
        <w:instrText xml:space="preserve"> SEQ Table \* ARABIC </w:instrText>
      </w:r>
      <w:r>
        <w:fldChar w:fldCharType="separate"/>
      </w:r>
      <w:r w:rsidR="00A564BE">
        <w:rPr>
          <w:noProof/>
        </w:rPr>
        <w:t>17</w:t>
      </w:r>
      <w:r>
        <w:fldChar w:fldCharType="end"/>
      </w:r>
      <w:r>
        <w:t xml:space="preserve"> - FAR Analysis</w:t>
      </w:r>
    </w:p>
    <w:p w14:paraId="1E1945B4" w14:textId="77777777" w:rsidR="005A6DBB" w:rsidRDefault="00F93099">
      <w:pPr>
        <w:spacing w:before="120" w:after="120"/>
        <w:rPr>
          <w:lang w:val="en-US"/>
        </w:rPr>
      </w:pPr>
      <w:r>
        <w:rPr>
          <w:lang w:val="en-US"/>
        </w:rPr>
        <w:t>*No FAR was found for Electricity.</w:t>
      </w:r>
    </w:p>
    <w:p w14:paraId="4A93C1FD" w14:textId="77777777" w:rsidR="005A6DBB" w:rsidRDefault="00F93099">
      <w:pPr>
        <w:spacing w:before="120" w:after="120"/>
        <w:rPr>
          <w:lang w:val="en-US"/>
        </w:rPr>
      </w:pPr>
      <w:r>
        <w:rPr>
          <w:lang w:val="en-US"/>
        </w:rPr>
        <w:t>** Only Roads were considered.</w:t>
      </w:r>
    </w:p>
    <w:p w14:paraId="2185D836" w14:textId="77777777" w:rsidR="005A6DBB" w:rsidRDefault="00F93099">
      <w:pPr>
        <w:spacing w:before="120" w:after="120"/>
        <w:rPr>
          <w:lang w:val="en-US"/>
        </w:rPr>
      </w:pPr>
      <w:r>
        <w:rPr>
          <w:lang w:val="en-US"/>
        </w:rPr>
        <w:t>The majority of the assets are indicated in a “Very Good” or “Good” condition with the exception of Roads where the majority of the assets are found in a “Poor” condition.  The % of the carrying value to the acquisition costs gives the indication of how old the asset base is as new or replacements asset would have a higher carrying value.  The percentages also indicate the asset base except for roads is fairly new (percentages above 50%).</w:t>
      </w:r>
    </w:p>
    <w:p w14:paraId="26C4462B" w14:textId="77777777" w:rsidR="005A6DBB" w:rsidRDefault="00F93099">
      <w:pPr>
        <w:spacing w:before="120" w:after="120"/>
        <w:rPr>
          <w:lang w:val="en-US"/>
        </w:rPr>
      </w:pPr>
      <w:r>
        <w:rPr>
          <w:lang w:val="en-US"/>
        </w:rPr>
        <w:t xml:space="preserve">This begs the question of how is aging infrastructure reported to be problematic?  </w:t>
      </w:r>
    </w:p>
    <w:p w14:paraId="52C49C16" w14:textId="77777777" w:rsidR="005A6DBB" w:rsidRDefault="00F93099">
      <w:pPr>
        <w:spacing w:before="120" w:after="120"/>
        <w:rPr>
          <w:lang w:val="en-US"/>
        </w:rPr>
      </w:pPr>
      <w:r>
        <w:rPr>
          <w:lang w:val="en-US"/>
        </w:rPr>
        <w:t>It is most likely that the asset register is incorrect, and the financial values reported also incorrect.  It is recommended that a complete, accurate and compliant asset register be compiled for MMM.</w:t>
      </w:r>
    </w:p>
    <w:p w14:paraId="5BA4E83C" w14:textId="77777777" w:rsidR="005A6DBB" w:rsidRDefault="00F93099">
      <w:pPr>
        <w:keepNext/>
        <w:numPr>
          <w:ilvl w:val="2"/>
          <w:numId w:val="1"/>
        </w:numPr>
        <w:spacing w:before="120" w:after="120"/>
        <w:ind w:left="567" w:right="57" w:hanging="578"/>
        <w:rPr>
          <w:rFonts w:cs="Arial"/>
          <w:b/>
        </w:rPr>
      </w:pPr>
      <w:bookmarkStart w:id="68" w:name="_Toc516567319"/>
      <w:bookmarkStart w:id="69" w:name="_Toc518810864"/>
      <w:r>
        <w:rPr>
          <w:rFonts w:cs="Arial"/>
          <w:b/>
        </w:rPr>
        <w:t>Service line contributions to total operating income</w:t>
      </w:r>
    </w:p>
    <w:p w14:paraId="606E2361" w14:textId="77777777" w:rsidR="005A6DBB" w:rsidRDefault="00F93099">
      <w:pPr>
        <w:spacing w:before="120" w:after="120"/>
        <w:rPr>
          <w:rFonts w:asciiTheme="minorHAnsi" w:hAnsiTheme="minorHAnsi" w:cstheme="minorBidi"/>
          <w:szCs w:val="22"/>
          <w:lang w:val="en-US"/>
        </w:rPr>
      </w:pPr>
      <w:r>
        <w:rPr>
          <w:noProof/>
          <w:lang w:val="en-ZA" w:eastAsia="en-ZA"/>
        </w:rPr>
        <w:drawing>
          <wp:inline distT="0" distB="0" distL="0" distR="0" wp14:anchorId="15A4E027" wp14:editId="7137FCBA">
            <wp:extent cx="5850890" cy="2524125"/>
            <wp:effectExtent l="0" t="0" r="1651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503B6B" w14:textId="5726CE1F" w:rsidR="005A6DBB" w:rsidRDefault="00F93099">
      <w:pPr>
        <w:pStyle w:val="Caption"/>
        <w:rPr>
          <w:rFonts w:asciiTheme="minorHAnsi" w:hAnsiTheme="minorHAnsi" w:cstheme="minorBidi"/>
          <w:sz w:val="22"/>
          <w:szCs w:val="22"/>
          <w:lang w:val="en-US"/>
        </w:rPr>
      </w:pPr>
      <w:r>
        <w:t xml:space="preserve">Table </w:t>
      </w:r>
      <w:r>
        <w:fldChar w:fldCharType="begin"/>
      </w:r>
      <w:r>
        <w:instrText xml:space="preserve"> SEQ Table \* ARABIC </w:instrText>
      </w:r>
      <w:r>
        <w:fldChar w:fldCharType="separate"/>
      </w:r>
      <w:r w:rsidR="00A564BE">
        <w:rPr>
          <w:noProof/>
        </w:rPr>
        <w:t>18</w:t>
      </w:r>
      <w:r>
        <w:fldChar w:fldCharType="end"/>
      </w:r>
      <w:r>
        <w:t xml:space="preserve"> -Contribution of Main Income Sources to Total Operating Income</w:t>
      </w:r>
    </w:p>
    <w:p w14:paraId="2D046964" w14:textId="77777777" w:rsidR="005A6DBB" w:rsidRDefault="00F93099">
      <w:pPr>
        <w:spacing w:before="120" w:after="120"/>
        <w:rPr>
          <w:rFonts w:asciiTheme="minorHAnsi" w:hAnsiTheme="minorHAnsi" w:cstheme="minorBidi"/>
          <w:szCs w:val="22"/>
          <w:lang w:val="en-US"/>
        </w:rPr>
      </w:pPr>
      <w:r>
        <w:rPr>
          <w:rFonts w:asciiTheme="minorHAnsi" w:hAnsiTheme="minorHAnsi" w:cstheme="minorBidi"/>
          <w:szCs w:val="22"/>
          <w:lang w:val="en-US"/>
        </w:rPr>
        <w:t xml:space="preserve">On average, 42% of the total operating income over the period of 2018/17 to 2021/22 is provided by electricity which is not managed internally but via CENTLEC which is a SOC.  This creates an unnecessary risk to MMM as it is not in direct control of the majority contributor to its income. </w:t>
      </w:r>
    </w:p>
    <w:p w14:paraId="1D4BDC00"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rPr>
      </w:pPr>
      <w:bookmarkStart w:id="70" w:name="_Toc132362449"/>
      <w:bookmarkStart w:id="71" w:name="_Toc137732228"/>
      <w:r>
        <w:rPr>
          <w:rFonts w:cs="Arial"/>
          <w:b/>
        </w:rPr>
        <w:t>INFRASTRUCTURE FINANCIALS</w:t>
      </w:r>
      <w:bookmarkEnd w:id="68"/>
      <w:bookmarkEnd w:id="69"/>
      <w:bookmarkEnd w:id="70"/>
      <w:bookmarkEnd w:id="71"/>
    </w:p>
    <w:p w14:paraId="0243A819" w14:textId="77777777" w:rsidR="005A6DBB" w:rsidRDefault="00F93099">
      <w:pPr>
        <w:spacing w:before="120" w:after="120"/>
        <w:rPr>
          <w:lang w:val="en-US"/>
        </w:rPr>
      </w:pPr>
      <w:r>
        <w:rPr>
          <w:lang w:val="en-US"/>
        </w:rPr>
        <w:t xml:space="preserve">Infrastructure-related services are the primary source of revenue and therefore significantly influence financial sustainability.  The surplus, or deficit of infrastructure-related services is </w:t>
      </w:r>
      <w:proofErr w:type="spellStart"/>
      <w:r>
        <w:rPr>
          <w:lang w:val="en-US"/>
        </w:rPr>
        <w:t>utilised</w:t>
      </w:r>
      <w:proofErr w:type="spellEnd"/>
      <w:r>
        <w:rPr>
          <w:lang w:val="en-US"/>
        </w:rPr>
        <w:t xml:space="preserve"> to cross </w:t>
      </w:r>
      <w:proofErr w:type="spellStart"/>
      <w:r>
        <w:rPr>
          <w:lang w:val="en-US"/>
        </w:rPr>
        <w:t>subsidise</w:t>
      </w:r>
      <w:proofErr w:type="spellEnd"/>
      <w:r>
        <w:rPr>
          <w:lang w:val="en-US"/>
        </w:rPr>
        <w:t xml:space="preserve"> all other Municipal operating and administrative expenditure and is therefore a critical consideration when it comes to assessing financial sustainability. </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5A6DBB" w14:paraId="5AECC761" w14:textId="77777777">
        <w:trPr>
          <w:trHeight w:val="300"/>
          <w:tblHeader/>
        </w:trPr>
        <w:tc>
          <w:tcPr>
            <w:tcW w:w="6804" w:type="dxa"/>
            <w:shd w:val="clear" w:color="auto" w:fill="002060"/>
            <w:noWrap/>
            <w:vAlign w:val="center"/>
          </w:tcPr>
          <w:p w14:paraId="78946E1E"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rPr>
              <w:t>Income (Trading Services)</w:t>
            </w:r>
          </w:p>
        </w:tc>
        <w:tc>
          <w:tcPr>
            <w:tcW w:w="2410" w:type="dxa"/>
            <w:shd w:val="clear" w:color="auto" w:fill="002060"/>
            <w:noWrap/>
            <w:vAlign w:val="center"/>
          </w:tcPr>
          <w:p w14:paraId="71516717"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lang w:val="en-US"/>
              </w:rPr>
              <w:t>Total (Rands)</w:t>
            </w:r>
          </w:p>
        </w:tc>
      </w:tr>
      <w:tr w:rsidR="005A6DBB" w14:paraId="18CBF545" w14:textId="77777777">
        <w:trPr>
          <w:trHeight w:val="300"/>
        </w:trPr>
        <w:tc>
          <w:tcPr>
            <w:tcW w:w="6804" w:type="dxa"/>
            <w:shd w:val="clear" w:color="auto" w:fill="D4E1ED"/>
          </w:tcPr>
          <w:p w14:paraId="48A9AEFA" w14:textId="77777777" w:rsidR="005A6DBB" w:rsidRDefault="00F93099">
            <w:pPr>
              <w:spacing w:before="120" w:after="120"/>
              <w:rPr>
                <w:rFonts w:cs="Calibri"/>
                <w:color w:val="000000"/>
                <w:sz w:val="20"/>
                <w:szCs w:val="20"/>
                <w:lang w:val="en-US"/>
              </w:rPr>
            </w:pPr>
            <w:r>
              <w:rPr>
                <w:sz w:val="20"/>
                <w:szCs w:val="20"/>
              </w:rPr>
              <w:t>Service charges</w:t>
            </w:r>
          </w:p>
        </w:tc>
        <w:tc>
          <w:tcPr>
            <w:tcW w:w="2410" w:type="dxa"/>
            <w:shd w:val="clear" w:color="auto" w:fill="D4E1ED"/>
            <w:noWrap/>
            <w:vAlign w:val="center"/>
          </w:tcPr>
          <w:p w14:paraId="30AA8563" w14:textId="77777777" w:rsidR="005A6DBB" w:rsidRDefault="00F93099">
            <w:pPr>
              <w:spacing w:before="120" w:after="120"/>
              <w:jc w:val="center"/>
              <w:rPr>
                <w:rFonts w:cs="Calibri"/>
                <w:b/>
                <w:bCs/>
                <w:color w:val="000000"/>
                <w:sz w:val="20"/>
                <w:szCs w:val="20"/>
                <w:lang w:val="en-US"/>
              </w:rPr>
            </w:pPr>
            <w:r>
              <w:rPr>
                <w:rFonts w:cs="Calibri"/>
                <w:color w:val="000000"/>
                <w:sz w:val="20"/>
                <w:szCs w:val="20"/>
              </w:rPr>
              <w:t>R4 377 092 068</w:t>
            </w:r>
          </w:p>
        </w:tc>
      </w:tr>
      <w:tr w:rsidR="005A6DBB" w14:paraId="08ABF067" w14:textId="77777777">
        <w:trPr>
          <w:trHeight w:val="300"/>
        </w:trPr>
        <w:tc>
          <w:tcPr>
            <w:tcW w:w="6804" w:type="dxa"/>
            <w:shd w:val="clear" w:color="auto" w:fill="BED3E4"/>
          </w:tcPr>
          <w:p w14:paraId="638D046C" w14:textId="77777777" w:rsidR="005A6DBB" w:rsidRDefault="00F93099">
            <w:pPr>
              <w:spacing w:before="120" w:after="120"/>
              <w:rPr>
                <w:rFonts w:cs="Calibri"/>
                <w:color w:val="000000"/>
                <w:sz w:val="20"/>
                <w:szCs w:val="20"/>
                <w:lang w:val="en-US"/>
              </w:rPr>
            </w:pPr>
            <w:r>
              <w:rPr>
                <w:sz w:val="20"/>
                <w:szCs w:val="20"/>
              </w:rPr>
              <w:t>Property tax</w:t>
            </w:r>
          </w:p>
        </w:tc>
        <w:tc>
          <w:tcPr>
            <w:tcW w:w="2410" w:type="dxa"/>
            <w:shd w:val="clear" w:color="auto" w:fill="BED3E4"/>
            <w:noWrap/>
            <w:vAlign w:val="center"/>
          </w:tcPr>
          <w:p w14:paraId="33EF9174" w14:textId="77777777" w:rsidR="005A6DBB" w:rsidRDefault="00F93099">
            <w:pPr>
              <w:spacing w:before="120" w:after="120"/>
              <w:jc w:val="center"/>
              <w:rPr>
                <w:rFonts w:cs="Calibri"/>
                <w:color w:val="000000"/>
                <w:sz w:val="20"/>
                <w:szCs w:val="20"/>
                <w:lang w:val="en-US"/>
              </w:rPr>
            </w:pPr>
            <w:r>
              <w:rPr>
                <w:rFonts w:cs="Calibri"/>
                <w:color w:val="000000"/>
                <w:sz w:val="20"/>
                <w:szCs w:val="20"/>
              </w:rPr>
              <w:t>R1 387 795 158</w:t>
            </w:r>
          </w:p>
        </w:tc>
      </w:tr>
      <w:tr w:rsidR="005A6DBB" w14:paraId="60F0E493" w14:textId="77777777">
        <w:trPr>
          <w:trHeight w:val="300"/>
        </w:trPr>
        <w:tc>
          <w:tcPr>
            <w:tcW w:w="6804" w:type="dxa"/>
            <w:shd w:val="clear" w:color="auto" w:fill="D4E1ED"/>
          </w:tcPr>
          <w:p w14:paraId="47324A0D" w14:textId="77777777" w:rsidR="005A6DBB" w:rsidRDefault="00F93099">
            <w:pPr>
              <w:spacing w:before="120" w:after="120"/>
              <w:rPr>
                <w:rFonts w:cs="Calibri"/>
                <w:color w:val="000000"/>
                <w:sz w:val="20"/>
                <w:szCs w:val="20"/>
                <w:lang w:val="en-US"/>
              </w:rPr>
            </w:pPr>
            <w:r>
              <w:rPr>
                <w:sz w:val="20"/>
                <w:szCs w:val="20"/>
              </w:rPr>
              <w:t>Equitable share</w:t>
            </w:r>
          </w:p>
        </w:tc>
        <w:tc>
          <w:tcPr>
            <w:tcW w:w="2410" w:type="dxa"/>
            <w:shd w:val="clear" w:color="auto" w:fill="D4E1ED"/>
            <w:noWrap/>
            <w:vAlign w:val="center"/>
          </w:tcPr>
          <w:p w14:paraId="6F4FBC1F" w14:textId="77777777" w:rsidR="005A6DBB" w:rsidRDefault="00F93099">
            <w:pPr>
              <w:spacing w:before="120" w:after="120"/>
              <w:jc w:val="center"/>
              <w:rPr>
                <w:rFonts w:cs="Calibri"/>
                <w:color w:val="000000"/>
                <w:sz w:val="20"/>
                <w:szCs w:val="20"/>
                <w:lang w:val="en-US"/>
              </w:rPr>
            </w:pPr>
            <w:r>
              <w:rPr>
                <w:rFonts w:cs="Calibri"/>
                <w:color w:val="000000"/>
                <w:sz w:val="20"/>
                <w:szCs w:val="20"/>
              </w:rPr>
              <w:t>R830 046 000</w:t>
            </w:r>
          </w:p>
        </w:tc>
      </w:tr>
      <w:tr w:rsidR="005A6DBB" w14:paraId="479C71F0" w14:textId="77777777">
        <w:trPr>
          <w:trHeight w:val="645"/>
        </w:trPr>
        <w:tc>
          <w:tcPr>
            <w:tcW w:w="6804" w:type="dxa"/>
            <w:shd w:val="clear" w:color="auto" w:fill="BED3E4"/>
          </w:tcPr>
          <w:p w14:paraId="147DCA39" w14:textId="77777777" w:rsidR="005A6DBB" w:rsidRDefault="00F93099">
            <w:pPr>
              <w:spacing w:before="120" w:after="120"/>
              <w:rPr>
                <w:rFonts w:cs="Calibri"/>
                <w:color w:val="000000"/>
                <w:sz w:val="20"/>
                <w:szCs w:val="20"/>
                <w:lang w:val="en-US"/>
              </w:rPr>
            </w:pPr>
            <w:r>
              <w:rPr>
                <w:sz w:val="20"/>
                <w:szCs w:val="20"/>
              </w:rPr>
              <w:t>Operating grants – specific</w:t>
            </w:r>
          </w:p>
        </w:tc>
        <w:tc>
          <w:tcPr>
            <w:tcW w:w="2410" w:type="dxa"/>
            <w:shd w:val="clear" w:color="auto" w:fill="BED3E4"/>
            <w:noWrap/>
            <w:vAlign w:val="center"/>
          </w:tcPr>
          <w:p w14:paraId="38C3B8FC" w14:textId="77777777" w:rsidR="005A6DBB" w:rsidRDefault="00F93099">
            <w:pPr>
              <w:spacing w:before="120" w:after="120"/>
              <w:jc w:val="center"/>
              <w:rPr>
                <w:rFonts w:cs="Calibri"/>
                <w:b/>
                <w:bCs/>
                <w:color w:val="000000"/>
                <w:sz w:val="20"/>
                <w:szCs w:val="20"/>
                <w:lang w:val="en-US"/>
              </w:rPr>
            </w:pPr>
            <w:r>
              <w:rPr>
                <w:rFonts w:cs="Calibri"/>
                <w:color w:val="000000"/>
                <w:sz w:val="20"/>
                <w:szCs w:val="20"/>
              </w:rPr>
              <w:t>R333 653 881</w:t>
            </w:r>
          </w:p>
        </w:tc>
      </w:tr>
      <w:tr w:rsidR="005A6DBB" w14:paraId="44D37535" w14:textId="77777777">
        <w:trPr>
          <w:trHeight w:val="660"/>
        </w:trPr>
        <w:tc>
          <w:tcPr>
            <w:tcW w:w="6804" w:type="dxa"/>
            <w:shd w:val="clear" w:color="auto" w:fill="D4E1ED"/>
          </w:tcPr>
          <w:p w14:paraId="57CBEE96" w14:textId="77777777" w:rsidR="005A6DBB" w:rsidRDefault="00F93099">
            <w:pPr>
              <w:spacing w:before="120" w:after="120"/>
              <w:rPr>
                <w:rFonts w:cs="Calibri"/>
                <w:color w:val="000000"/>
                <w:sz w:val="20"/>
                <w:szCs w:val="20"/>
                <w:lang w:val="en-US"/>
              </w:rPr>
            </w:pPr>
            <w:r>
              <w:rPr>
                <w:sz w:val="20"/>
                <w:szCs w:val="20"/>
              </w:rPr>
              <w:t>Operating grants – allocation</w:t>
            </w:r>
          </w:p>
        </w:tc>
        <w:tc>
          <w:tcPr>
            <w:tcW w:w="2410" w:type="dxa"/>
            <w:shd w:val="clear" w:color="auto" w:fill="D4E1ED"/>
            <w:noWrap/>
            <w:vAlign w:val="center"/>
          </w:tcPr>
          <w:p w14:paraId="458CC7A2" w14:textId="77777777" w:rsidR="005A6DBB" w:rsidRDefault="00F93099">
            <w:pPr>
              <w:keepNext/>
              <w:spacing w:before="120" w:after="120"/>
              <w:jc w:val="center"/>
              <w:rPr>
                <w:rFonts w:cs="Calibri"/>
                <w:b/>
                <w:bCs/>
                <w:color w:val="000000"/>
                <w:sz w:val="20"/>
                <w:szCs w:val="20"/>
                <w:lang w:val="en-US"/>
              </w:rPr>
            </w:pPr>
            <w:r>
              <w:rPr>
                <w:rFonts w:cs="Calibri"/>
                <w:color w:val="000000"/>
                <w:sz w:val="20"/>
                <w:szCs w:val="20"/>
              </w:rPr>
              <w:t>R6 781 364</w:t>
            </w:r>
          </w:p>
        </w:tc>
      </w:tr>
      <w:tr w:rsidR="005A6DBB" w14:paraId="0C2F67D0" w14:textId="77777777">
        <w:trPr>
          <w:trHeight w:val="660"/>
        </w:trPr>
        <w:tc>
          <w:tcPr>
            <w:tcW w:w="6804" w:type="dxa"/>
            <w:shd w:val="clear" w:color="auto" w:fill="D4E1ED"/>
          </w:tcPr>
          <w:p w14:paraId="7F44468B" w14:textId="77777777" w:rsidR="005A6DBB" w:rsidRDefault="00F93099">
            <w:pPr>
              <w:spacing w:before="120" w:after="120"/>
              <w:rPr>
                <w:rFonts w:cs="Calibri"/>
                <w:color w:val="000000"/>
                <w:sz w:val="20"/>
                <w:szCs w:val="20"/>
              </w:rPr>
            </w:pPr>
            <w:r>
              <w:rPr>
                <w:sz w:val="20"/>
                <w:szCs w:val="20"/>
              </w:rPr>
              <w:t>Other income – specific</w:t>
            </w:r>
          </w:p>
        </w:tc>
        <w:tc>
          <w:tcPr>
            <w:tcW w:w="2410" w:type="dxa"/>
            <w:shd w:val="clear" w:color="auto" w:fill="D4E1ED"/>
            <w:noWrap/>
            <w:vAlign w:val="center"/>
          </w:tcPr>
          <w:p w14:paraId="79534FF5" w14:textId="77777777" w:rsidR="005A6DBB" w:rsidRDefault="00F93099">
            <w:pPr>
              <w:keepNext/>
              <w:spacing w:before="120" w:after="120"/>
              <w:jc w:val="center"/>
              <w:rPr>
                <w:rFonts w:cs="Calibri"/>
                <w:color w:val="000000"/>
                <w:sz w:val="20"/>
                <w:szCs w:val="20"/>
              </w:rPr>
            </w:pPr>
            <w:r>
              <w:rPr>
                <w:rFonts w:cs="Calibri"/>
                <w:color w:val="000000"/>
                <w:sz w:val="20"/>
                <w:szCs w:val="20"/>
              </w:rPr>
              <w:t>R91 516 671</w:t>
            </w:r>
          </w:p>
        </w:tc>
      </w:tr>
      <w:tr w:rsidR="005A6DBB" w14:paraId="287F1A0A" w14:textId="77777777">
        <w:trPr>
          <w:trHeight w:val="660"/>
        </w:trPr>
        <w:tc>
          <w:tcPr>
            <w:tcW w:w="6804" w:type="dxa"/>
            <w:shd w:val="clear" w:color="auto" w:fill="D4E1ED"/>
          </w:tcPr>
          <w:p w14:paraId="11AE4924" w14:textId="77777777" w:rsidR="005A6DBB" w:rsidRDefault="00F93099">
            <w:pPr>
              <w:spacing w:before="120" w:after="120"/>
              <w:rPr>
                <w:rFonts w:cs="Calibri"/>
                <w:b/>
                <w:bCs/>
                <w:color w:val="000000"/>
                <w:sz w:val="20"/>
                <w:szCs w:val="20"/>
              </w:rPr>
            </w:pPr>
            <w:r>
              <w:rPr>
                <w:b/>
                <w:bCs/>
                <w:sz w:val="20"/>
                <w:szCs w:val="20"/>
              </w:rPr>
              <w:t>Total Income</w:t>
            </w:r>
          </w:p>
        </w:tc>
        <w:tc>
          <w:tcPr>
            <w:tcW w:w="2410" w:type="dxa"/>
            <w:shd w:val="clear" w:color="auto" w:fill="D4E1ED"/>
            <w:noWrap/>
            <w:vAlign w:val="center"/>
          </w:tcPr>
          <w:p w14:paraId="6638B4DB" w14:textId="77777777" w:rsidR="005A6DBB" w:rsidRDefault="00F93099">
            <w:pPr>
              <w:keepNext/>
              <w:spacing w:before="120" w:after="120"/>
              <w:jc w:val="center"/>
              <w:rPr>
                <w:rFonts w:cs="Calibri"/>
                <w:b/>
                <w:bCs/>
                <w:color w:val="000000"/>
                <w:sz w:val="20"/>
                <w:szCs w:val="20"/>
                <w:lang w:val="en-US"/>
              </w:rPr>
            </w:pPr>
            <w:r>
              <w:rPr>
                <w:rFonts w:cs="Calibri"/>
                <w:b/>
                <w:bCs/>
                <w:color w:val="000000"/>
                <w:sz w:val="20"/>
                <w:szCs w:val="20"/>
              </w:rPr>
              <w:t>R7 026 885 142</w:t>
            </w:r>
          </w:p>
        </w:tc>
      </w:tr>
    </w:tbl>
    <w:p w14:paraId="2F16BB5D" w14:textId="2626F5FB"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19</w:t>
      </w:r>
      <w:r>
        <w:fldChar w:fldCharType="end"/>
      </w:r>
      <w:r>
        <w:t xml:space="preserve"> - Income from 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5A6DBB" w14:paraId="2C39615F" w14:textId="77777777">
        <w:trPr>
          <w:trHeight w:val="300"/>
          <w:tblHeader/>
        </w:trPr>
        <w:tc>
          <w:tcPr>
            <w:tcW w:w="6804" w:type="dxa"/>
            <w:shd w:val="clear" w:color="auto" w:fill="002060"/>
            <w:noWrap/>
            <w:vAlign w:val="center"/>
          </w:tcPr>
          <w:p w14:paraId="161EAE70"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rPr>
              <w:t>Expenses (Trading Services)</w:t>
            </w:r>
          </w:p>
        </w:tc>
        <w:tc>
          <w:tcPr>
            <w:tcW w:w="2410" w:type="dxa"/>
            <w:shd w:val="clear" w:color="auto" w:fill="002060"/>
            <w:noWrap/>
            <w:vAlign w:val="center"/>
          </w:tcPr>
          <w:p w14:paraId="3216B563"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lang w:val="en-US"/>
              </w:rPr>
              <w:t>Total (Rands)</w:t>
            </w:r>
          </w:p>
        </w:tc>
      </w:tr>
      <w:tr w:rsidR="005A6DBB" w14:paraId="0DCED5DB" w14:textId="77777777">
        <w:trPr>
          <w:trHeight w:val="300"/>
        </w:trPr>
        <w:tc>
          <w:tcPr>
            <w:tcW w:w="6804" w:type="dxa"/>
            <w:shd w:val="clear" w:color="auto" w:fill="D4E1ED"/>
          </w:tcPr>
          <w:p w14:paraId="30593B26" w14:textId="77777777" w:rsidR="005A6DBB" w:rsidRDefault="00F93099">
            <w:pPr>
              <w:spacing w:before="120" w:after="120"/>
              <w:rPr>
                <w:rFonts w:cs="Calibri"/>
                <w:color w:val="000000"/>
                <w:sz w:val="20"/>
                <w:szCs w:val="20"/>
                <w:lang w:val="en-US"/>
              </w:rPr>
            </w:pPr>
            <w:r>
              <w:rPr>
                <w:sz w:val="20"/>
                <w:szCs w:val="20"/>
              </w:rPr>
              <w:t>Employee related costs</w:t>
            </w:r>
          </w:p>
        </w:tc>
        <w:tc>
          <w:tcPr>
            <w:tcW w:w="2410" w:type="dxa"/>
            <w:shd w:val="clear" w:color="auto" w:fill="D4E1ED"/>
            <w:noWrap/>
            <w:vAlign w:val="center"/>
          </w:tcPr>
          <w:p w14:paraId="6A3EFF23" w14:textId="77777777" w:rsidR="005A6DBB" w:rsidRDefault="00F93099">
            <w:pPr>
              <w:spacing w:before="120" w:after="120"/>
              <w:jc w:val="center"/>
              <w:rPr>
                <w:rFonts w:cs="Calibri"/>
                <w:b/>
                <w:bCs/>
                <w:color w:val="000000"/>
                <w:sz w:val="20"/>
                <w:szCs w:val="20"/>
                <w:lang w:val="en-US"/>
              </w:rPr>
            </w:pPr>
            <w:r>
              <w:rPr>
                <w:rFonts w:cs="Calibri"/>
                <w:color w:val="000000"/>
                <w:sz w:val="20"/>
                <w:szCs w:val="20"/>
              </w:rPr>
              <w:t>R1 331 284 093</w:t>
            </w:r>
          </w:p>
        </w:tc>
      </w:tr>
      <w:tr w:rsidR="005A6DBB" w14:paraId="6169CC8B" w14:textId="77777777">
        <w:trPr>
          <w:trHeight w:val="300"/>
        </w:trPr>
        <w:tc>
          <w:tcPr>
            <w:tcW w:w="6804" w:type="dxa"/>
            <w:shd w:val="clear" w:color="auto" w:fill="BED3E4"/>
          </w:tcPr>
          <w:p w14:paraId="52EEFADD" w14:textId="77777777" w:rsidR="005A6DBB" w:rsidRDefault="00F93099">
            <w:pPr>
              <w:spacing w:before="120" w:after="120"/>
              <w:rPr>
                <w:rFonts w:cs="Calibri"/>
                <w:color w:val="000000"/>
                <w:sz w:val="20"/>
                <w:szCs w:val="20"/>
                <w:lang w:val="en-US"/>
              </w:rPr>
            </w:pPr>
            <w:r>
              <w:rPr>
                <w:sz w:val="20"/>
                <w:szCs w:val="20"/>
              </w:rPr>
              <w:t>Depreciation and amortisation</w:t>
            </w:r>
          </w:p>
        </w:tc>
        <w:tc>
          <w:tcPr>
            <w:tcW w:w="2410" w:type="dxa"/>
            <w:shd w:val="clear" w:color="auto" w:fill="BED3E4"/>
            <w:noWrap/>
            <w:vAlign w:val="center"/>
          </w:tcPr>
          <w:p w14:paraId="351AD4FD" w14:textId="77777777" w:rsidR="005A6DBB" w:rsidRDefault="00F93099">
            <w:pPr>
              <w:spacing w:before="120" w:after="120"/>
              <w:jc w:val="center"/>
              <w:rPr>
                <w:rFonts w:cs="Calibri"/>
                <w:color w:val="000000"/>
                <w:sz w:val="20"/>
                <w:szCs w:val="20"/>
                <w:lang w:val="en-US"/>
              </w:rPr>
            </w:pPr>
            <w:r>
              <w:rPr>
                <w:rFonts w:cs="Calibri"/>
                <w:color w:val="000000"/>
                <w:sz w:val="20"/>
                <w:szCs w:val="20"/>
              </w:rPr>
              <w:t>R852 687 813</w:t>
            </w:r>
          </w:p>
        </w:tc>
      </w:tr>
      <w:tr w:rsidR="005A6DBB" w14:paraId="57A02F53" w14:textId="77777777">
        <w:trPr>
          <w:trHeight w:val="300"/>
        </w:trPr>
        <w:tc>
          <w:tcPr>
            <w:tcW w:w="6804" w:type="dxa"/>
            <w:shd w:val="clear" w:color="auto" w:fill="D4E1ED"/>
          </w:tcPr>
          <w:p w14:paraId="32D8DA25" w14:textId="77777777" w:rsidR="005A6DBB" w:rsidRDefault="00F93099">
            <w:pPr>
              <w:spacing w:before="120" w:after="120"/>
              <w:rPr>
                <w:rFonts w:cs="Calibri"/>
                <w:color w:val="000000"/>
                <w:sz w:val="20"/>
                <w:szCs w:val="20"/>
                <w:lang w:val="en-US"/>
              </w:rPr>
            </w:pPr>
            <w:r>
              <w:rPr>
                <w:sz w:val="20"/>
                <w:szCs w:val="20"/>
              </w:rPr>
              <w:t>Repairs and maintenance</w:t>
            </w:r>
          </w:p>
        </w:tc>
        <w:tc>
          <w:tcPr>
            <w:tcW w:w="2410" w:type="dxa"/>
            <w:shd w:val="clear" w:color="auto" w:fill="D4E1ED"/>
            <w:noWrap/>
            <w:vAlign w:val="center"/>
          </w:tcPr>
          <w:p w14:paraId="44359BA0" w14:textId="77777777" w:rsidR="005A6DBB" w:rsidRDefault="00F93099">
            <w:pPr>
              <w:spacing w:before="120" w:after="120"/>
              <w:jc w:val="center"/>
              <w:rPr>
                <w:rFonts w:cs="Calibri"/>
                <w:color w:val="000000"/>
                <w:sz w:val="20"/>
                <w:szCs w:val="20"/>
                <w:lang w:val="en-US"/>
              </w:rPr>
            </w:pPr>
            <w:r>
              <w:rPr>
                <w:rFonts w:cs="Calibri"/>
                <w:color w:val="000000"/>
                <w:sz w:val="20"/>
                <w:szCs w:val="20"/>
              </w:rPr>
              <w:t>R344 052 829</w:t>
            </w:r>
          </w:p>
        </w:tc>
      </w:tr>
      <w:tr w:rsidR="005A6DBB" w14:paraId="2D6393E2" w14:textId="77777777">
        <w:trPr>
          <w:trHeight w:val="645"/>
        </w:trPr>
        <w:tc>
          <w:tcPr>
            <w:tcW w:w="6804" w:type="dxa"/>
            <w:shd w:val="clear" w:color="auto" w:fill="BED3E4"/>
          </w:tcPr>
          <w:p w14:paraId="37447A10" w14:textId="77777777" w:rsidR="005A6DBB" w:rsidRDefault="00F93099">
            <w:pPr>
              <w:spacing w:before="120" w:after="120"/>
              <w:rPr>
                <w:rFonts w:cs="Calibri"/>
                <w:color w:val="000000"/>
                <w:sz w:val="20"/>
                <w:szCs w:val="20"/>
                <w:lang w:val="en-US"/>
              </w:rPr>
            </w:pPr>
            <w:r>
              <w:rPr>
                <w:sz w:val="20"/>
                <w:szCs w:val="20"/>
              </w:rPr>
              <w:t>Bulk purchases</w:t>
            </w:r>
          </w:p>
        </w:tc>
        <w:tc>
          <w:tcPr>
            <w:tcW w:w="2410" w:type="dxa"/>
            <w:shd w:val="clear" w:color="auto" w:fill="BED3E4"/>
            <w:noWrap/>
            <w:vAlign w:val="center"/>
          </w:tcPr>
          <w:p w14:paraId="590B9BC4" w14:textId="77777777" w:rsidR="005A6DBB" w:rsidRDefault="00F93099">
            <w:pPr>
              <w:spacing w:before="120" w:after="120"/>
              <w:jc w:val="center"/>
              <w:rPr>
                <w:rFonts w:cs="Calibri"/>
                <w:b/>
                <w:bCs/>
                <w:color w:val="000000"/>
                <w:sz w:val="20"/>
                <w:szCs w:val="20"/>
                <w:lang w:val="en-US"/>
              </w:rPr>
            </w:pPr>
            <w:r>
              <w:rPr>
                <w:rFonts w:cs="Calibri"/>
                <w:color w:val="000000"/>
                <w:sz w:val="20"/>
                <w:szCs w:val="20"/>
              </w:rPr>
              <w:t>R2 897 178 397</w:t>
            </w:r>
          </w:p>
        </w:tc>
      </w:tr>
      <w:tr w:rsidR="005A6DBB" w14:paraId="2991FBDB" w14:textId="77777777">
        <w:trPr>
          <w:trHeight w:val="660"/>
        </w:trPr>
        <w:tc>
          <w:tcPr>
            <w:tcW w:w="6804" w:type="dxa"/>
            <w:shd w:val="clear" w:color="auto" w:fill="D4E1ED"/>
          </w:tcPr>
          <w:p w14:paraId="602D0B3C" w14:textId="77777777" w:rsidR="005A6DBB" w:rsidRDefault="00F93099">
            <w:pPr>
              <w:spacing w:before="120" w:after="120"/>
              <w:rPr>
                <w:rFonts w:cs="Calibri"/>
                <w:color w:val="000000"/>
                <w:sz w:val="20"/>
                <w:szCs w:val="20"/>
                <w:lang w:val="en-US"/>
              </w:rPr>
            </w:pPr>
            <w:r>
              <w:rPr>
                <w:sz w:val="20"/>
                <w:szCs w:val="20"/>
              </w:rPr>
              <w:t>Contracted services – specific</w:t>
            </w:r>
          </w:p>
        </w:tc>
        <w:tc>
          <w:tcPr>
            <w:tcW w:w="2410" w:type="dxa"/>
            <w:shd w:val="clear" w:color="auto" w:fill="D4E1ED"/>
            <w:noWrap/>
            <w:vAlign w:val="center"/>
          </w:tcPr>
          <w:p w14:paraId="3B14D73C" w14:textId="77777777" w:rsidR="005A6DBB" w:rsidRDefault="00F93099">
            <w:pPr>
              <w:keepNext/>
              <w:spacing w:before="120" w:after="120"/>
              <w:jc w:val="center"/>
              <w:rPr>
                <w:rFonts w:cs="Calibri"/>
                <w:b/>
                <w:bCs/>
                <w:color w:val="000000"/>
                <w:sz w:val="20"/>
                <w:szCs w:val="20"/>
                <w:lang w:val="en-US"/>
              </w:rPr>
            </w:pPr>
            <w:r>
              <w:rPr>
                <w:rFonts w:cs="Calibri"/>
                <w:color w:val="000000"/>
                <w:sz w:val="20"/>
                <w:szCs w:val="20"/>
              </w:rPr>
              <w:t>R202 698 417</w:t>
            </w:r>
          </w:p>
        </w:tc>
      </w:tr>
      <w:tr w:rsidR="005A6DBB" w14:paraId="6199D9B9" w14:textId="77777777">
        <w:trPr>
          <w:trHeight w:val="660"/>
        </w:trPr>
        <w:tc>
          <w:tcPr>
            <w:tcW w:w="6804" w:type="dxa"/>
            <w:shd w:val="clear" w:color="auto" w:fill="D4E1ED"/>
          </w:tcPr>
          <w:p w14:paraId="6077B8FA" w14:textId="77777777" w:rsidR="005A6DBB" w:rsidRDefault="00F93099">
            <w:pPr>
              <w:spacing w:before="120" w:after="120"/>
              <w:rPr>
                <w:rFonts w:cs="Calibri"/>
                <w:color w:val="000000"/>
                <w:sz w:val="20"/>
                <w:szCs w:val="20"/>
              </w:rPr>
            </w:pPr>
            <w:r>
              <w:rPr>
                <w:sz w:val="20"/>
                <w:szCs w:val="20"/>
              </w:rPr>
              <w:t>Contracted services – allocation</w:t>
            </w:r>
          </w:p>
        </w:tc>
        <w:tc>
          <w:tcPr>
            <w:tcW w:w="2410" w:type="dxa"/>
            <w:shd w:val="clear" w:color="auto" w:fill="D4E1ED"/>
            <w:noWrap/>
            <w:vAlign w:val="center"/>
          </w:tcPr>
          <w:p w14:paraId="6C004667" w14:textId="77777777" w:rsidR="005A6DBB" w:rsidRDefault="00F93099">
            <w:pPr>
              <w:keepNext/>
              <w:spacing w:before="120" w:after="120"/>
              <w:jc w:val="center"/>
              <w:rPr>
                <w:rFonts w:cs="Calibri"/>
                <w:color w:val="000000"/>
                <w:sz w:val="20"/>
                <w:szCs w:val="20"/>
              </w:rPr>
            </w:pPr>
            <w:r>
              <w:rPr>
                <w:rFonts w:cs="Calibri"/>
                <w:color w:val="000000"/>
                <w:sz w:val="20"/>
                <w:szCs w:val="20"/>
              </w:rPr>
              <w:t>R3 002 269</w:t>
            </w:r>
          </w:p>
        </w:tc>
      </w:tr>
      <w:tr w:rsidR="005A6DBB" w14:paraId="5425E70D" w14:textId="77777777">
        <w:trPr>
          <w:trHeight w:val="660"/>
        </w:trPr>
        <w:tc>
          <w:tcPr>
            <w:tcW w:w="6804" w:type="dxa"/>
            <w:shd w:val="clear" w:color="auto" w:fill="D4E1ED"/>
          </w:tcPr>
          <w:p w14:paraId="6642753B" w14:textId="77777777" w:rsidR="005A6DBB" w:rsidRDefault="00F93099">
            <w:pPr>
              <w:spacing w:before="120" w:after="120"/>
              <w:rPr>
                <w:rFonts w:cs="Calibri"/>
                <w:b/>
                <w:bCs/>
                <w:color w:val="000000"/>
                <w:sz w:val="20"/>
                <w:szCs w:val="20"/>
              </w:rPr>
            </w:pPr>
            <w:r>
              <w:rPr>
                <w:sz w:val="20"/>
                <w:szCs w:val="20"/>
              </w:rPr>
              <w:t>General expenses – specific</w:t>
            </w:r>
          </w:p>
        </w:tc>
        <w:tc>
          <w:tcPr>
            <w:tcW w:w="2410" w:type="dxa"/>
            <w:shd w:val="clear" w:color="auto" w:fill="D4E1ED"/>
            <w:noWrap/>
            <w:vAlign w:val="center"/>
          </w:tcPr>
          <w:p w14:paraId="1E984F46" w14:textId="77777777" w:rsidR="005A6DBB" w:rsidRDefault="00F93099">
            <w:pPr>
              <w:keepNext/>
              <w:spacing w:before="120" w:after="120"/>
              <w:jc w:val="center"/>
              <w:rPr>
                <w:rFonts w:cs="Calibri"/>
                <w:b/>
                <w:bCs/>
                <w:color w:val="000000"/>
                <w:sz w:val="20"/>
                <w:szCs w:val="20"/>
                <w:lang w:val="en-US"/>
              </w:rPr>
            </w:pPr>
            <w:r>
              <w:rPr>
                <w:rFonts w:cs="Calibri"/>
                <w:color w:val="000000"/>
                <w:sz w:val="20"/>
                <w:szCs w:val="20"/>
              </w:rPr>
              <w:t>R52 773 311</w:t>
            </w:r>
          </w:p>
        </w:tc>
      </w:tr>
      <w:tr w:rsidR="005A6DBB" w14:paraId="57B517A5" w14:textId="77777777">
        <w:trPr>
          <w:trHeight w:val="660"/>
        </w:trPr>
        <w:tc>
          <w:tcPr>
            <w:tcW w:w="6804" w:type="dxa"/>
            <w:shd w:val="clear" w:color="auto" w:fill="D4E1ED"/>
          </w:tcPr>
          <w:p w14:paraId="4D1DC785" w14:textId="77777777" w:rsidR="005A6DBB" w:rsidRDefault="00F93099">
            <w:pPr>
              <w:spacing w:before="120" w:after="120"/>
              <w:rPr>
                <w:b/>
                <w:bCs/>
                <w:sz w:val="20"/>
                <w:szCs w:val="20"/>
              </w:rPr>
            </w:pPr>
            <w:r>
              <w:rPr>
                <w:sz w:val="20"/>
                <w:szCs w:val="20"/>
              </w:rPr>
              <w:t>General expenses- allocation</w:t>
            </w:r>
          </w:p>
        </w:tc>
        <w:tc>
          <w:tcPr>
            <w:tcW w:w="2410" w:type="dxa"/>
            <w:shd w:val="clear" w:color="auto" w:fill="D4E1ED"/>
            <w:noWrap/>
            <w:vAlign w:val="center"/>
          </w:tcPr>
          <w:p w14:paraId="0A7C2571" w14:textId="77777777" w:rsidR="005A6DBB" w:rsidRDefault="00F93099">
            <w:pPr>
              <w:keepNext/>
              <w:spacing w:before="120" w:after="120"/>
              <w:jc w:val="center"/>
              <w:rPr>
                <w:rFonts w:cs="Calibri"/>
                <w:b/>
                <w:bCs/>
                <w:color w:val="000000"/>
                <w:sz w:val="20"/>
                <w:szCs w:val="20"/>
              </w:rPr>
            </w:pPr>
            <w:r>
              <w:rPr>
                <w:rFonts w:cs="Calibri"/>
                <w:color w:val="000000"/>
                <w:sz w:val="20"/>
                <w:szCs w:val="20"/>
              </w:rPr>
              <w:t>R148 522 449</w:t>
            </w:r>
          </w:p>
        </w:tc>
      </w:tr>
      <w:tr w:rsidR="005A6DBB" w14:paraId="25A25064" w14:textId="77777777">
        <w:trPr>
          <w:trHeight w:val="660"/>
        </w:trPr>
        <w:tc>
          <w:tcPr>
            <w:tcW w:w="6804" w:type="dxa"/>
            <w:shd w:val="clear" w:color="auto" w:fill="D4E1ED"/>
          </w:tcPr>
          <w:p w14:paraId="59590C9A" w14:textId="77777777" w:rsidR="005A6DBB" w:rsidRDefault="00F93099">
            <w:pPr>
              <w:spacing w:before="120" w:after="120"/>
              <w:rPr>
                <w:b/>
                <w:bCs/>
                <w:sz w:val="20"/>
                <w:szCs w:val="20"/>
              </w:rPr>
            </w:pPr>
            <w:r>
              <w:rPr>
                <w:sz w:val="20"/>
                <w:szCs w:val="20"/>
              </w:rPr>
              <w:t>Total Expenditure</w:t>
            </w:r>
          </w:p>
        </w:tc>
        <w:tc>
          <w:tcPr>
            <w:tcW w:w="2410" w:type="dxa"/>
            <w:shd w:val="clear" w:color="auto" w:fill="D4E1ED"/>
            <w:noWrap/>
            <w:vAlign w:val="center"/>
          </w:tcPr>
          <w:p w14:paraId="48454CDB" w14:textId="77777777" w:rsidR="005A6DBB" w:rsidRDefault="00F93099">
            <w:pPr>
              <w:keepNext/>
              <w:spacing w:before="120" w:after="120"/>
              <w:jc w:val="center"/>
              <w:rPr>
                <w:rFonts w:cs="Calibri"/>
                <w:b/>
                <w:bCs/>
                <w:color w:val="000000"/>
                <w:sz w:val="20"/>
                <w:szCs w:val="20"/>
              </w:rPr>
            </w:pPr>
            <w:r>
              <w:rPr>
                <w:rFonts w:cs="Calibri"/>
                <w:b/>
                <w:bCs/>
                <w:color w:val="000000"/>
                <w:sz w:val="20"/>
                <w:szCs w:val="20"/>
              </w:rPr>
              <w:t>R5 832 199 578</w:t>
            </w:r>
          </w:p>
        </w:tc>
      </w:tr>
    </w:tbl>
    <w:p w14:paraId="5EF2D635" w14:textId="00E0738F"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20</w:t>
      </w:r>
      <w:r>
        <w:fldChar w:fldCharType="end"/>
      </w:r>
      <w:r>
        <w:t xml:space="preserve"> - Expenses from 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19"/>
        <w:gridCol w:w="4485"/>
        <w:gridCol w:w="2410"/>
      </w:tblGrid>
      <w:tr w:rsidR="005A6DBB" w14:paraId="6FAF9740" w14:textId="77777777">
        <w:trPr>
          <w:trHeight w:val="300"/>
          <w:tblHeader/>
        </w:trPr>
        <w:tc>
          <w:tcPr>
            <w:tcW w:w="6804" w:type="dxa"/>
            <w:gridSpan w:val="2"/>
            <w:shd w:val="clear" w:color="auto" w:fill="002060"/>
            <w:noWrap/>
            <w:vAlign w:val="center"/>
          </w:tcPr>
          <w:p w14:paraId="25108CD7" w14:textId="77777777" w:rsidR="005A6DBB" w:rsidRDefault="00F93099">
            <w:pPr>
              <w:spacing w:before="120" w:after="120"/>
              <w:jc w:val="center"/>
              <w:rPr>
                <w:rFonts w:cs="Calibri"/>
                <w:b/>
                <w:bCs/>
                <w:color w:val="FFFFFF" w:themeColor="background1"/>
                <w:sz w:val="20"/>
                <w:szCs w:val="22"/>
                <w:lang w:val="en-US"/>
              </w:rPr>
            </w:pPr>
            <w:r>
              <w:rPr>
                <w:rFonts w:cs="Calibri"/>
                <w:b/>
                <w:bCs/>
                <w:color w:val="FFFFFF" w:themeColor="background1"/>
                <w:sz w:val="20"/>
                <w:szCs w:val="22"/>
                <w:lang w:val="en-US"/>
              </w:rPr>
              <w:t xml:space="preserve">Income and Expenditure </w:t>
            </w:r>
          </w:p>
        </w:tc>
        <w:tc>
          <w:tcPr>
            <w:tcW w:w="2410" w:type="dxa"/>
            <w:shd w:val="clear" w:color="auto" w:fill="002060"/>
            <w:noWrap/>
            <w:vAlign w:val="center"/>
          </w:tcPr>
          <w:p w14:paraId="06F7E8EE" w14:textId="77777777" w:rsidR="005A6DBB" w:rsidRDefault="00F93099">
            <w:pPr>
              <w:spacing w:before="120" w:after="120"/>
              <w:jc w:val="center"/>
              <w:rPr>
                <w:rFonts w:cs="Calibri"/>
                <w:b/>
                <w:bCs/>
                <w:color w:val="FFFFFF" w:themeColor="background1"/>
                <w:sz w:val="20"/>
                <w:szCs w:val="22"/>
                <w:lang w:val="en-US"/>
              </w:rPr>
            </w:pPr>
            <w:r>
              <w:rPr>
                <w:rFonts w:cs="Calibri"/>
                <w:b/>
                <w:bCs/>
                <w:color w:val="FFFFFF" w:themeColor="background1"/>
                <w:sz w:val="20"/>
                <w:szCs w:val="22"/>
                <w:lang w:val="en-US"/>
              </w:rPr>
              <w:t>Total (Rands)</w:t>
            </w:r>
          </w:p>
        </w:tc>
      </w:tr>
      <w:tr w:rsidR="005A6DBB" w14:paraId="79E64717" w14:textId="77777777">
        <w:trPr>
          <w:trHeight w:val="315"/>
        </w:trPr>
        <w:tc>
          <w:tcPr>
            <w:tcW w:w="2319" w:type="dxa"/>
            <w:shd w:val="clear" w:color="auto" w:fill="D4E1ED"/>
            <w:noWrap/>
            <w:vAlign w:val="center"/>
          </w:tcPr>
          <w:p w14:paraId="3E4A5335" w14:textId="77777777" w:rsidR="005A6DBB" w:rsidRDefault="00F93099">
            <w:pPr>
              <w:spacing w:before="120" w:after="120"/>
              <w:rPr>
                <w:rFonts w:cs="Calibri"/>
                <w:color w:val="000000"/>
                <w:sz w:val="20"/>
                <w:szCs w:val="22"/>
                <w:lang w:val="en-US"/>
              </w:rPr>
            </w:pPr>
            <w:r>
              <w:rPr>
                <w:rFonts w:cs="Calibri"/>
                <w:color w:val="000000"/>
                <w:sz w:val="20"/>
                <w:szCs w:val="22"/>
                <w:lang w:val="en-US"/>
              </w:rPr>
              <w:t>Income</w:t>
            </w:r>
          </w:p>
        </w:tc>
        <w:tc>
          <w:tcPr>
            <w:tcW w:w="4485" w:type="dxa"/>
            <w:shd w:val="clear" w:color="auto" w:fill="D4E1ED"/>
            <w:noWrap/>
            <w:vAlign w:val="center"/>
          </w:tcPr>
          <w:p w14:paraId="4466F3E4" w14:textId="77777777" w:rsidR="005A6DBB" w:rsidRDefault="00F93099">
            <w:pPr>
              <w:spacing w:before="120" w:after="120"/>
              <w:rPr>
                <w:rFonts w:cs="Calibri"/>
                <w:color w:val="000000"/>
                <w:sz w:val="20"/>
                <w:szCs w:val="22"/>
                <w:lang w:val="en-US"/>
              </w:rPr>
            </w:pPr>
            <w:r>
              <w:rPr>
                <w:rFonts w:cs="Calibri"/>
                <w:color w:val="000000"/>
                <w:sz w:val="20"/>
                <w:szCs w:val="22"/>
                <w:lang w:val="en-US"/>
              </w:rPr>
              <w:t>Total Income (Trading Services)</w:t>
            </w:r>
          </w:p>
        </w:tc>
        <w:tc>
          <w:tcPr>
            <w:tcW w:w="2410" w:type="dxa"/>
            <w:shd w:val="clear" w:color="auto" w:fill="D4E1ED"/>
            <w:noWrap/>
            <w:vAlign w:val="center"/>
          </w:tcPr>
          <w:p w14:paraId="3CA7514A" w14:textId="77777777" w:rsidR="005A6DBB" w:rsidRDefault="00F93099">
            <w:pPr>
              <w:spacing w:before="120" w:after="120"/>
              <w:jc w:val="center"/>
              <w:rPr>
                <w:rFonts w:cs="Calibri"/>
                <w:color w:val="000000"/>
                <w:sz w:val="20"/>
                <w:szCs w:val="22"/>
                <w:lang w:val="en-US"/>
              </w:rPr>
            </w:pPr>
            <w:r>
              <w:rPr>
                <w:rFonts w:cs="Calibri"/>
                <w:color w:val="000000"/>
                <w:sz w:val="20"/>
                <w:szCs w:val="22"/>
                <w:lang w:val="en-US"/>
              </w:rPr>
              <w:t>7 026 885 142</w:t>
            </w:r>
          </w:p>
        </w:tc>
      </w:tr>
      <w:tr w:rsidR="005A6DBB" w14:paraId="6EFE304B" w14:textId="77777777">
        <w:trPr>
          <w:trHeight w:val="315"/>
        </w:trPr>
        <w:tc>
          <w:tcPr>
            <w:tcW w:w="2319" w:type="dxa"/>
            <w:shd w:val="clear" w:color="auto" w:fill="BED3E4"/>
            <w:noWrap/>
            <w:vAlign w:val="center"/>
          </w:tcPr>
          <w:p w14:paraId="12423AF0" w14:textId="77777777" w:rsidR="005A6DBB" w:rsidRDefault="00F93099">
            <w:pPr>
              <w:spacing w:before="120" w:after="120"/>
              <w:rPr>
                <w:rFonts w:cs="Calibri"/>
                <w:color w:val="000000"/>
                <w:sz w:val="20"/>
                <w:szCs w:val="22"/>
                <w:lang w:val="en-US"/>
              </w:rPr>
            </w:pPr>
            <w:r>
              <w:rPr>
                <w:rFonts w:cs="Calibri"/>
                <w:color w:val="000000"/>
                <w:sz w:val="20"/>
                <w:szCs w:val="22"/>
                <w:lang w:val="en-US"/>
              </w:rPr>
              <w:t>Expenditure</w:t>
            </w:r>
          </w:p>
        </w:tc>
        <w:tc>
          <w:tcPr>
            <w:tcW w:w="4485" w:type="dxa"/>
            <w:shd w:val="clear" w:color="auto" w:fill="BED3E4"/>
            <w:noWrap/>
            <w:vAlign w:val="center"/>
          </w:tcPr>
          <w:p w14:paraId="11DBCD27" w14:textId="77777777" w:rsidR="005A6DBB" w:rsidRDefault="00F93099">
            <w:pPr>
              <w:spacing w:before="120" w:after="120"/>
              <w:rPr>
                <w:rFonts w:cs="Calibri"/>
                <w:color w:val="000000"/>
                <w:sz w:val="20"/>
                <w:szCs w:val="22"/>
                <w:lang w:val="en-US"/>
              </w:rPr>
            </w:pPr>
            <w:r>
              <w:rPr>
                <w:rFonts w:cs="Calibri"/>
                <w:color w:val="000000"/>
                <w:sz w:val="20"/>
                <w:szCs w:val="22"/>
                <w:lang w:val="en-US"/>
              </w:rPr>
              <w:t>Total Expenditure (Trading Services)</w:t>
            </w:r>
          </w:p>
        </w:tc>
        <w:tc>
          <w:tcPr>
            <w:tcW w:w="2410" w:type="dxa"/>
            <w:shd w:val="clear" w:color="auto" w:fill="BED3E4"/>
            <w:noWrap/>
            <w:vAlign w:val="center"/>
          </w:tcPr>
          <w:p w14:paraId="3859FAFB" w14:textId="77777777" w:rsidR="005A6DBB" w:rsidRDefault="00F93099">
            <w:pPr>
              <w:spacing w:before="120" w:after="120"/>
              <w:jc w:val="center"/>
              <w:rPr>
                <w:rFonts w:cs="Calibri"/>
                <w:color w:val="000000"/>
                <w:sz w:val="20"/>
                <w:szCs w:val="22"/>
                <w:lang w:val="en-US"/>
              </w:rPr>
            </w:pPr>
            <w:r>
              <w:rPr>
                <w:rFonts w:cs="Calibri"/>
                <w:color w:val="000000"/>
                <w:sz w:val="20"/>
                <w:szCs w:val="22"/>
                <w:lang w:val="en-US"/>
              </w:rPr>
              <w:t>5 832 199 578</w:t>
            </w:r>
          </w:p>
        </w:tc>
      </w:tr>
      <w:tr w:rsidR="005A6DBB" w14:paraId="61C3F5CD" w14:textId="77777777">
        <w:trPr>
          <w:trHeight w:val="315"/>
        </w:trPr>
        <w:tc>
          <w:tcPr>
            <w:tcW w:w="6804" w:type="dxa"/>
            <w:gridSpan w:val="2"/>
            <w:shd w:val="clear" w:color="auto" w:fill="D4E1ED"/>
            <w:noWrap/>
            <w:vAlign w:val="center"/>
          </w:tcPr>
          <w:p w14:paraId="288FA788" w14:textId="77777777" w:rsidR="005A6DBB" w:rsidRDefault="00F93099">
            <w:pPr>
              <w:spacing w:before="120" w:after="120"/>
              <w:rPr>
                <w:rFonts w:cs="Calibri"/>
                <w:b/>
                <w:bCs/>
                <w:color w:val="000000"/>
                <w:sz w:val="20"/>
                <w:szCs w:val="22"/>
                <w:lang w:val="en-US"/>
              </w:rPr>
            </w:pPr>
            <w:r>
              <w:rPr>
                <w:rFonts w:cs="Calibri"/>
                <w:b/>
                <w:bCs/>
                <w:color w:val="000000"/>
                <w:sz w:val="20"/>
                <w:szCs w:val="22"/>
                <w:lang w:val="en-US"/>
              </w:rPr>
              <w:t>Surplus</w:t>
            </w:r>
          </w:p>
        </w:tc>
        <w:tc>
          <w:tcPr>
            <w:tcW w:w="2410" w:type="dxa"/>
            <w:shd w:val="clear" w:color="auto" w:fill="D4E1ED"/>
            <w:noWrap/>
            <w:vAlign w:val="center"/>
          </w:tcPr>
          <w:p w14:paraId="2A1AD0AB" w14:textId="77777777" w:rsidR="005A6DBB" w:rsidRDefault="00F93099">
            <w:pPr>
              <w:keepNext/>
              <w:spacing w:before="120" w:after="120"/>
              <w:jc w:val="center"/>
              <w:rPr>
                <w:rFonts w:cs="Calibri"/>
                <w:b/>
                <w:bCs/>
                <w:color w:val="000000"/>
                <w:sz w:val="20"/>
                <w:szCs w:val="22"/>
                <w:lang w:val="en-US"/>
              </w:rPr>
            </w:pPr>
            <w:r>
              <w:rPr>
                <w:rFonts w:cs="Calibri"/>
                <w:b/>
                <w:bCs/>
                <w:color w:val="000000"/>
                <w:sz w:val="20"/>
                <w:szCs w:val="22"/>
                <w:lang w:val="en-US"/>
              </w:rPr>
              <w:t>1 194 685 564</w:t>
            </w:r>
          </w:p>
        </w:tc>
      </w:tr>
    </w:tbl>
    <w:p w14:paraId="35B9B6D4" w14:textId="73EA805F" w:rsidR="005A6DBB" w:rsidRDefault="00F93099">
      <w:pPr>
        <w:pStyle w:val="Caption"/>
      </w:pPr>
      <w:r>
        <w:t xml:space="preserve">Table </w:t>
      </w:r>
      <w:r>
        <w:fldChar w:fldCharType="begin"/>
      </w:r>
      <w:r>
        <w:instrText xml:space="preserve"> SEQ Table \* ARABIC </w:instrText>
      </w:r>
      <w:r>
        <w:fldChar w:fldCharType="separate"/>
      </w:r>
      <w:r w:rsidR="00A564BE">
        <w:rPr>
          <w:noProof/>
        </w:rPr>
        <w:t>21</w:t>
      </w:r>
      <w:r>
        <w:fldChar w:fldCharType="end"/>
      </w:r>
      <w:r>
        <w:t xml:space="preserve"> - Infrastructure Income and Expenses</w:t>
      </w:r>
    </w:p>
    <w:p w14:paraId="30A7B86F" w14:textId="77777777" w:rsidR="005A6DBB" w:rsidRDefault="00F93099">
      <w:pPr>
        <w:spacing w:before="120" w:after="120"/>
        <w:rPr>
          <w:lang w:val="en-US"/>
        </w:rPr>
      </w:pPr>
      <w:r>
        <w:rPr>
          <w:lang w:val="en-US"/>
        </w:rPr>
        <w:t xml:space="preserve">The analysis shows a surplus of R1 194 685 564 after considering only the revenue and expenditure relating to infrastructure-related services in the Municipality which can be utilized to fund the balance of expenditure arising from the Municipality.  </w:t>
      </w:r>
    </w:p>
    <w:p w14:paraId="2D5B56DD" w14:textId="77777777" w:rsidR="005A6DBB" w:rsidRDefault="00F93099">
      <w:pPr>
        <w:spacing w:before="120" w:after="120"/>
        <w:rPr>
          <w:lang w:val="en-US"/>
        </w:rPr>
      </w:pPr>
      <w:r>
        <w:rPr>
          <w:lang w:val="en-US"/>
        </w:rPr>
        <w:t>Further analysis was done as shown below.</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19"/>
        <w:gridCol w:w="4485"/>
        <w:gridCol w:w="2410"/>
      </w:tblGrid>
      <w:tr w:rsidR="005A6DBB" w14:paraId="600FF7B8" w14:textId="77777777">
        <w:trPr>
          <w:trHeight w:val="300"/>
          <w:tblHeader/>
        </w:trPr>
        <w:tc>
          <w:tcPr>
            <w:tcW w:w="6804" w:type="dxa"/>
            <w:gridSpan w:val="2"/>
            <w:shd w:val="clear" w:color="auto" w:fill="002060"/>
            <w:noWrap/>
            <w:vAlign w:val="center"/>
          </w:tcPr>
          <w:p w14:paraId="24201C47" w14:textId="77777777" w:rsidR="005A6DBB" w:rsidRDefault="00F93099">
            <w:pPr>
              <w:spacing w:before="120" w:after="120"/>
              <w:jc w:val="center"/>
              <w:rPr>
                <w:rFonts w:cs="Calibri"/>
                <w:b/>
                <w:bCs/>
                <w:color w:val="FFFFFF" w:themeColor="background1"/>
                <w:sz w:val="20"/>
                <w:szCs w:val="22"/>
                <w:lang w:val="en-US"/>
              </w:rPr>
            </w:pPr>
            <w:r>
              <w:rPr>
                <w:rFonts w:cs="Calibri"/>
                <w:b/>
                <w:bCs/>
                <w:color w:val="FFFFFF" w:themeColor="background1"/>
                <w:sz w:val="20"/>
                <w:szCs w:val="22"/>
                <w:lang w:val="en-US"/>
              </w:rPr>
              <w:t xml:space="preserve">Income and Expenditure </w:t>
            </w:r>
          </w:p>
        </w:tc>
        <w:tc>
          <w:tcPr>
            <w:tcW w:w="2410" w:type="dxa"/>
            <w:shd w:val="clear" w:color="auto" w:fill="002060"/>
            <w:noWrap/>
            <w:vAlign w:val="center"/>
          </w:tcPr>
          <w:p w14:paraId="7EE987E9" w14:textId="77777777" w:rsidR="005A6DBB" w:rsidRDefault="00F93099">
            <w:pPr>
              <w:spacing w:before="120" w:after="120"/>
              <w:jc w:val="center"/>
              <w:rPr>
                <w:rFonts w:cs="Calibri"/>
                <w:b/>
                <w:bCs/>
                <w:color w:val="FFFFFF" w:themeColor="background1"/>
                <w:sz w:val="20"/>
                <w:szCs w:val="22"/>
                <w:lang w:val="en-US"/>
              </w:rPr>
            </w:pPr>
            <w:r>
              <w:rPr>
                <w:rFonts w:cs="Calibri"/>
                <w:b/>
                <w:bCs/>
                <w:color w:val="FFFFFF" w:themeColor="background1"/>
                <w:sz w:val="20"/>
                <w:szCs w:val="22"/>
                <w:lang w:val="en-US"/>
              </w:rPr>
              <w:t>Total (Rands)</w:t>
            </w:r>
          </w:p>
        </w:tc>
      </w:tr>
      <w:tr w:rsidR="005A6DBB" w14:paraId="1E9B5C29" w14:textId="77777777">
        <w:trPr>
          <w:trHeight w:val="315"/>
        </w:trPr>
        <w:tc>
          <w:tcPr>
            <w:tcW w:w="2319" w:type="dxa"/>
            <w:shd w:val="clear" w:color="auto" w:fill="D4E1ED"/>
            <w:noWrap/>
            <w:vAlign w:val="center"/>
          </w:tcPr>
          <w:p w14:paraId="5F9F3445" w14:textId="77777777" w:rsidR="005A6DBB" w:rsidRDefault="00F93099">
            <w:pPr>
              <w:spacing w:before="120" w:after="120"/>
              <w:rPr>
                <w:rFonts w:cs="Calibri"/>
                <w:color w:val="000000"/>
                <w:sz w:val="20"/>
                <w:szCs w:val="22"/>
                <w:lang w:val="en-US"/>
              </w:rPr>
            </w:pPr>
            <w:r>
              <w:rPr>
                <w:rFonts w:cs="Calibri"/>
                <w:color w:val="000000"/>
                <w:sz w:val="20"/>
                <w:szCs w:val="22"/>
                <w:lang w:val="en-US"/>
              </w:rPr>
              <w:t>Income</w:t>
            </w:r>
          </w:p>
        </w:tc>
        <w:tc>
          <w:tcPr>
            <w:tcW w:w="4485" w:type="dxa"/>
            <w:shd w:val="clear" w:color="auto" w:fill="D4E1ED"/>
            <w:noWrap/>
            <w:vAlign w:val="center"/>
          </w:tcPr>
          <w:p w14:paraId="79A52084" w14:textId="77777777" w:rsidR="005A6DBB" w:rsidRDefault="00F93099">
            <w:pPr>
              <w:spacing w:before="120" w:after="120"/>
              <w:rPr>
                <w:rFonts w:cs="Calibri"/>
                <w:color w:val="000000"/>
                <w:sz w:val="20"/>
                <w:szCs w:val="22"/>
                <w:lang w:val="en-US"/>
              </w:rPr>
            </w:pPr>
            <w:r>
              <w:rPr>
                <w:rFonts w:cs="Calibri"/>
                <w:color w:val="000000"/>
                <w:sz w:val="20"/>
                <w:szCs w:val="22"/>
                <w:lang w:val="en-US"/>
              </w:rPr>
              <w:t>Total Income (Non-Trading Services)</w:t>
            </w:r>
          </w:p>
        </w:tc>
        <w:tc>
          <w:tcPr>
            <w:tcW w:w="2410" w:type="dxa"/>
            <w:shd w:val="clear" w:color="auto" w:fill="D4E1ED"/>
            <w:noWrap/>
            <w:vAlign w:val="center"/>
          </w:tcPr>
          <w:p w14:paraId="4EDD65E8" w14:textId="77777777" w:rsidR="005A6DBB" w:rsidRDefault="00F93099">
            <w:pPr>
              <w:spacing w:before="120" w:after="120"/>
              <w:jc w:val="center"/>
              <w:rPr>
                <w:rFonts w:cs="Calibri"/>
                <w:color w:val="000000"/>
                <w:sz w:val="20"/>
                <w:szCs w:val="22"/>
                <w:lang w:val="en-US"/>
              </w:rPr>
            </w:pPr>
            <w:r>
              <w:rPr>
                <w:rFonts w:cs="Calibri"/>
                <w:color w:val="000000"/>
                <w:sz w:val="20"/>
                <w:szCs w:val="22"/>
                <w:lang w:val="en-US"/>
              </w:rPr>
              <w:t>1 318 078 174</w:t>
            </w:r>
          </w:p>
        </w:tc>
      </w:tr>
      <w:tr w:rsidR="005A6DBB" w14:paraId="76A7C235" w14:textId="77777777">
        <w:trPr>
          <w:trHeight w:val="315"/>
        </w:trPr>
        <w:tc>
          <w:tcPr>
            <w:tcW w:w="2319" w:type="dxa"/>
            <w:shd w:val="clear" w:color="auto" w:fill="BED3E4"/>
            <w:noWrap/>
            <w:vAlign w:val="center"/>
          </w:tcPr>
          <w:p w14:paraId="492B536E" w14:textId="77777777" w:rsidR="005A6DBB" w:rsidRDefault="00F93099">
            <w:pPr>
              <w:spacing w:before="120" w:after="120"/>
              <w:rPr>
                <w:rFonts w:cs="Calibri"/>
                <w:color w:val="000000"/>
                <w:sz w:val="20"/>
                <w:szCs w:val="22"/>
                <w:lang w:val="en-US"/>
              </w:rPr>
            </w:pPr>
            <w:r>
              <w:rPr>
                <w:rFonts w:cs="Calibri"/>
                <w:color w:val="000000"/>
                <w:sz w:val="20"/>
                <w:szCs w:val="22"/>
                <w:lang w:val="en-US"/>
              </w:rPr>
              <w:t>Expenditure</w:t>
            </w:r>
          </w:p>
        </w:tc>
        <w:tc>
          <w:tcPr>
            <w:tcW w:w="4485" w:type="dxa"/>
            <w:shd w:val="clear" w:color="auto" w:fill="BED3E4"/>
            <w:noWrap/>
            <w:vAlign w:val="center"/>
          </w:tcPr>
          <w:p w14:paraId="1E2C8831" w14:textId="77777777" w:rsidR="005A6DBB" w:rsidRDefault="00F93099">
            <w:pPr>
              <w:spacing w:before="120" w:after="120"/>
              <w:rPr>
                <w:rFonts w:cs="Calibri"/>
                <w:color w:val="000000"/>
                <w:sz w:val="20"/>
                <w:szCs w:val="22"/>
                <w:lang w:val="en-US"/>
              </w:rPr>
            </w:pPr>
            <w:r>
              <w:rPr>
                <w:rFonts w:cs="Calibri"/>
                <w:color w:val="000000"/>
                <w:sz w:val="20"/>
                <w:szCs w:val="22"/>
                <w:lang w:val="en-US"/>
              </w:rPr>
              <w:t>Total Expenditure (Non-Trading Services)</w:t>
            </w:r>
          </w:p>
        </w:tc>
        <w:tc>
          <w:tcPr>
            <w:tcW w:w="2410" w:type="dxa"/>
            <w:shd w:val="clear" w:color="auto" w:fill="BED3E4"/>
            <w:noWrap/>
            <w:vAlign w:val="center"/>
          </w:tcPr>
          <w:p w14:paraId="2D71827D" w14:textId="77777777" w:rsidR="005A6DBB" w:rsidRDefault="00F93099">
            <w:pPr>
              <w:spacing w:before="120" w:after="120"/>
              <w:jc w:val="center"/>
              <w:rPr>
                <w:rFonts w:cs="Calibri"/>
                <w:color w:val="000000"/>
                <w:sz w:val="20"/>
                <w:szCs w:val="22"/>
                <w:lang w:val="en-US"/>
              </w:rPr>
            </w:pPr>
            <w:r>
              <w:rPr>
                <w:rFonts w:cs="Calibri"/>
                <w:color w:val="000000"/>
                <w:sz w:val="20"/>
                <w:szCs w:val="22"/>
                <w:lang w:val="en-US"/>
              </w:rPr>
              <w:t>3 366 898 725</w:t>
            </w:r>
          </w:p>
        </w:tc>
      </w:tr>
      <w:tr w:rsidR="005A6DBB" w14:paraId="553FC491" w14:textId="77777777">
        <w:trPr>
          <w:trHeight w:val="315"/>
        </w:trPr>
        <w:tc>
          <w:tcPr>
            <w:tcW w:w="6804" w:type="dxa"/>
            <w:gridSpan w:val="2"/>
            <w:shd w:val="clear" w:color="auto" w:fill="D4E1ED"/>
            <w:noWrap/>
            <w:vAlign w:val="center"/>
          </w:tcPr>
          <w:p w14:paraId="1CD2726D" w14:textId="77777777" w:rsidR="005A6DBB" w:rsidRDefault="00F93099">
            <w:pPr>
              <w:spacing w:before="120" w:after="120"/>
              <w:rPr>
                <w:rFonts w:cs="Calibri"/>
                <w:b/>
                <w:bCs/>
                <w:color w:val="000000"/>
                <w:sz w:val="20"/>
                <w:szCs w:val="22"/>
                <w:lang w:val="en-US"/>
              </w:rPr>
            </w:pPr>
            <w:r>
              <w:rPr>
                <w:rFonts w:cs="Calibri"/>
                <w:b/>
                <w:bCs/>
                <w:color w:val="000000"/>
                <w:sz w:val="20"/>
                <w:szCs w:val="22"/>
                <w:lang w:val="en-US"/>
              </w:rPr>
              <w:t>Deficit</w:t>
            </w:r>
          </w:p>
        </w:tc>
        <w:tc>
          <w:tcPr>
            <w:tcW w:w="2410" w:type="dxa"/>
            <w:shd w:val="clear" w:color="auto" w:fill="D4E1ED"/>
            <w:noWrap/>
            <w:vAlign w:val="center"/>
          </w:tcPr>
          <w:p w14:paraId="507C8D26" w14:textId="77777777" w:rsidR="005A6DBB" w:rsidRDefault="00F93099">
            <w:pPr>
              <w:keepNext/>
              <w:spacing w:before="120" w:after="120"/>
              <w:jc w:val="center"/>
              <w:rPr>
                <w:rFonts w:cs="Calibri"/>
                <w:b/>
                <w:bCs/>
                <w:color w:val="000000"/>
                <w:sz w:val="20"/>
                <w:szCs w:val="22"/>
                <w:lang w:val="en-US"/>
              </w:rPr>
            </w:pPr>
            <w:r>
              <w:rPr>
                <w:rFonts w:cs="Calibri"/>
                <w:b/>
                <w:bCs/>
                <w:color w:val="000000"/>
                <w:sz w:val="20"/>
                <w:szCs w:val="22"/>
                <w:lang w:val="en-US"/>
              </w:rPr>
              <w:t>(2 048 820 551)</w:t>
            </w:r>
          </w:p>
        </w:tc>
      </w:tr>
    </w:tbl>
    <w:p w14:paraId="0A64DFBF" w14:textId="4894CEB0" w:rsidR="005A6DBB" w:rsidRDefault="00F93099">
      <w:pPr>
        <w:pStyle w:val="Caption"/>
        <w:rPr>
          <w:lang w:val="en-US"/>
        </w:rPr>
      </w:pPr>
      <w:r>
        <w:t xml:space="preserve">Table </w:t>
      </w:r>
      <w:r>
        <w:fldChar w:fldCharType="begin"/>
      </w:r>
      <w:r>
        <w:instrText xml:space="preserve"> SEQ Table \* ARABIC </w:instrText>
      </w:r>
      <w:r>
        <w:fldChar w:fldCharType="separate"/>
      </w:r>
      <w:r w:rsidR="00A564BE">
        <w:rPr>
          <w:noProof/>
        </w:rPr>
        <w:t>22</w:t>
      </w:r>
      <w:r>
        <w:fldChar w:fldCharType="end"/>
      </w:r>
      <w:r>
        <w:t xml:space="preserve"> - Income and Expenditure: Non-Trading Services</w:t>
      </w:r>
    </w:p>
    <w:tbl>
      <w:tblPr>
        <w:tblW w:w="921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804"/>
        <w:gridCol w:w="2410"/>
      </w:tblGrid>
      <w:tr w:rsidR="005A6DBB" w14:paraId="3A016509" w14:textId="77777777">
        <w:trPr>
          <w:trHeight w:val="300"/>
        </w:trPr>
        <w:tc>
          <w:tcPr>
            <w:tcW w:w="6804" w:type="dxa"/>
            <w:shd w:val="clear" w:color="auto" w:fill="002060"/>
            <w:noWrap/>
            <w:vAlign w:val="center"/>
          </w:tcPr>
          <w:p w14:paraId="5AE85988"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rPr>
              <w:t>Description</w:t>
            </w:r>
          </w:p>
        </w:tc>
        <w:tc>
          <w:tcPr>
            <w:tcW w:w="2410" w:type="dxa"/>
            <w:shd w:val="clear" w:color="auto" w:fill="002060"/>
            <w:noWrap/>
            <w:vAlign w:val="center"/>
          </w:tcPr>
          <w:p w14:paraId="1EBFAA9F" w14:textId="77777777" w:rsidR="005A6DBB" w:rsidRDefault="00F93099">
            <w:pPr>
              <w:spacing w:before="120" w:after="120"/>
              <w:jc w:val="center"/>
              <w:rPr>
                <w:rFonts w:cs="Calibri"/>
                <w:b/>
                <w:bCs/>
                <w:color w:val="FFFFFF" w:themeColor="background1"/>
                <w:sz w:val="20"/>
                <w:szCs w:val="20"/>
                <w:lang w:val="en-US"/>
              </w:rPr>
            </w:pPr>
            <w:r>
              <w:rPr>
                <w:rFonts w:cs="Calibri"/>
                <w:b/>
                <w:bCs/>
                <w:color w:val="FFFFFF" w:themeColor="background1"/>
                <w:sz w:val="20"/>
                <w:szCs w:val="20"/>
                <w:lang w:val="en-US"/>
              </w:rPr>
              <w:t>Total (Rands)</w:t>
            </w:r>
          </w:p>
        </w:tc>
      </w:tr>
      <w:tr w:rsidR="005A6DBB" w14:paraId="7A4A8D04" w14:textId="77777777">
        <w:trPr>
          <w:trHeight w:val="300"/>
        </w:trPr>
        <w:tc>
          <w:tcPr>
            <w:tcW w:w="6804" w:type="dxa"/>
            <w:shd w:val="clear" w:color="auto" w:fill="D4E1ED"/>
            <w:vAlign w:val="center"/>
          </w:tcPr>
          <w:p w14:paraId="628DEADA" w14:textId="77777777" w:rsidR="005A6DBB" w:rsidRDefault="00F93099">
            <w:pPr>
              <w:spacing w:before="120" w:after="120"/>
              <w:rPr>
                <w:rFonts w:cs="Calibri"/>
                <w:color w:val="000000"/>
                <w:sz w:val="20"/>
                <w:szCs w:val="20"/>
              </w:rPr>
            </w:pPr>
            <w:r>
              <w:rPr>
                <w:rFonts w:cs="Calibri"/>
                <w:color w:val="000000"/>
                <w:sz w:val="20"/>
                <w:szCs w:val="20"/>
              </w:rPr>
              <w:t>Trading Services surplus</w:t>
            </w:r>
          </w:p>
        </w:tc>
        <w:tc>
          <w:tcPr>
            <w:tcW w:w="2410" w:type="dxa"/>
            <w:shd w:val="clear" w:color="auto" w:fill="D4E1ED"/>
            <w:noWrap/>
            <w:vAlign w:val="center"/>
          </w:tcPr>
          <w:p w14:paraId="79778C34"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1 194 685 564</w:t>
            </w:r>
          </w:p>
        </w:tc>
      </w:tr>
      <w:tr w:rsidR="005A6DBB" w14:paraId="57818244" w14:textId="77777777">
        <w:trPr>
          <w:trHeight w:val="300"/>
        </w:trPr>
        <w:tc>
          <w:tcPr>
            <w:tcW w:w="6804" w:type="dxa"/>
            <w:shd w:val="clear" w:color="auto" w:fill="BED3E4"/>
            <w:vAlign w:val="center"/>
          </w:tcPr>
          <w:p w14:paraId="1910C279" w14:textId="77777777" w:rsidR="005A6DBB" w:rsidRDefault="00F93099">
            <w:pPr>
              <w:spacing w:before="120" w:after="120"/>
              <w:rPr>
                <w:rFonts w:cs="Calibri"/>
                <w:color w:val="000000"/>
                <w:sz w:val="20"/>
                <w:szCs w:val="20"/>
                <w:lang w:val="en-US"/>
              </w:rPr>
            </w:pPr>
            <w:r>
              <w:rPr>
                <w:rFonts w:cs="Calibri"/>
                <w:color w:val="000000"/>
                <w:sz w:val="20"/>
                <w:szCs w:val="20"/>
              </w:rPr>
              <w:t>Non-Trading services deficit</w:t>
            </w:r>
          </w:p>
        </w:tc>
        <w:tc>
          <w:tcPr>
            <w:tcW w:w="2410" w:type="dxa"/>
            <w:shd w:val="clear" w:color="auto" w:fill="BED3E4"/>
            <w:noWrap/>
            <w:vAlign w:val="center"/>
          </w:tcPr>
          <w:p w14:paraId="330164B7" w14:textId="77777777" w:rsidR="005A6DBB" w:rsidRDefault="00F93099">
            <w:pPr>
              <w:spacing w:before="120" w:after="120"/>
              <w:jc w:val="center"/>
              <w:rPr>
                <w:rFonts w:cs="Calibri"/>
                <w:color w:val="000000"/>
                <w:sz w:val="20"/>
                <w:szCs w:val="20"/>
                <w:lang w:val="en-US"/>
              </w:rPr>
            </w:pPr>
            <w:r>
              <w:rPr>
                <w:rFonts w:cs="Calibri"/>
                <w:color w:val="000000"/>
                <w:sz w:val="20"/>
                <w:szCs w:val="22"/>
                <w:lang w:val="en-US"/>
              </w:rPr>
              <w:t>(2 048 820 551)</w:t>
            </w:r>
          </w:p>
        </w:tc>
      </w:tr>
      <w:tr w:rsidR="005A6DBB" w14:paraId="332ABE1D" w14:textId="77777777">
        <w:trPr>
          <w:trHeight w:val="300"/>
        </w:trPr>
        <w:tc>
          <w:tcPr>
            <w:tcW w:w="6804" w:type="dxa"/>
            <w:shd w:val="clear" w:color="auto" w:fill="D4E1ED"/>
            <w:vAlign w:val="center"/>
          </w:tcPr>
          <w:p w14:paraId="1E6F56FA" w14:textId="77777777" w:rsidR="005A6DBB" w:rsidRDefault="00F93099">
            <w:pPr>
              <w:spacing w:before="120" w:after="120"/>
              <w:rPr>
                <w:rFonts w:cs="Calibri"/>
                <w:color w:val="000000"/>
                <w:sz w:val="20"/>
                <w:szCs w:val="20"/>
                <w:lang w:val="en-US"/>
              </w:rPr>
            </w:pPr>
            <w:r>
              <w:rPr>
                <w:rFonts w:cs="Calibri"/>
                <w:color w:val="000000"/>
                <w:sz w:val="20"/>
                <w:szCs w:val="20"/>
              </w:rPr>
              <w:t>Adequacy of the Infrastructure Service Operating Surplus (Deficit)</w:t>
            </w:r>
          </w:p>
        </w:tc>
        <w:tc>
          <w:tcPr>
            <w:tcW w:w="2410" w:type="dxa"/>
            <w:shd w:val="clear" w:color="auto" w:fill="D4E1ED"/>
            <w:noWrap/>
            <w:vAlign w:val="center"/>
          </w:tcPr>
          <w:p w14:paraId="30687A5B" w14:textId="77777777" w:rsidR="005A6DBB" w:rsidRDefault="00F93099">
            <w:pPr>
              <w:spacing w:before="120" w:after="120"/>
              <w:jc w:val="center"/>
              <w:rPr>
                <w:rFonts w:cs="Calibri"/>
                <w:b/>
                <w:bCs/>
                <w:color w:val="000000"/>
                <w:sz w:val="20"/>
                <w:szCs w:val="20"/>
                <w:lang w:val="en-US"/>
              </w:rPr>
            </w:pPr>
            <w:r>
              <w:rPr>
                <w:rFonts w:cs="Calibri"/>
                <w:b/>
                <w:bCs/>
                <w:color w:val="000000"/>
                <w:sz w:val="20"/>
                <w:szCs w:val="20"/>
                <w:lang w:val="en-US"/>
              </w:rPr>
              <w:t>(854 134 987)</w:t>
            </w:r>
          </w:p>
        </w:tc>
      </w:tr>
    </w:tbl>
    <w:p w14:paraId="09CC3C33" w14:textId="3B7548F5" w:rsidR="005A6DBB" w:rsidRDefault="00F93099">
      <w:pPr>
        <w:pStyle w:val="Caption"/>
      </w:pPr>
      <w:r>
        <w:t xml:space="preserve">Table </w:t>
      </w:r>
      <w:r>
        <w:fldChar w:fldCharType="begin"/>
      </w:r>
      <w:r>
        <w:instrText xml:space="preserve"> SEQ Table \* ARABIC </w:instrText>
      </w:r>
      <w:r>
        <w:fldChar w:fldCharType="separate"/>
      </w:r>
      <w:r w:rsidR="00A564BE">
        <w:rPr>
          <w:noProof/>
        </w:rPr>
        <w:t>23</w:t>
      </w:r>
      <w:r>
        <w:fldChar w:fldCharType="end"/>
      </w:r>
      <w:r>
        <w:t xml:space="preserve"> - Infrastructure Financials (</w:t>
      </w:r>
      <w:r>
        <w:rPr>
          <w:lang w:val="en-US"/>
        </w:rPr>
        <w:t>The above figures were extracted from the 2021/22 Annual Financial Statements)</w:t>
      </w:r>
    </w:p>
    <w:p w14:paraId="7B2E25F3" w14:textId="77777777" w:rsidR="005A6DBB" w:rsidRDefault="00F93099">
      <w:pPr>
        <w:spacing w:before="120" w:after="120"/>
        <w:rPr>
          <w:lang w:val="en-US"/>
        </w:rPr>
      </w:pPr>
      <w:r>
        <w:rPr>
          <w:lang w:val="en-US"/>
        </w:rPr>
        <w:t>This revealed that the surplus arising from infrastructure revenue and expenses is inadequate to fund the balance of the expenditure of the Municipality by an amount of R854 million.</w:t>
      </w:r>
    </w:p>
    <w:p w14:paraId="3472C8AC"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72" w:name="_Toc132362450"/>
      <w:bookmarkStart w:id="73" w:name="_Toc137732229"/>
      <w:r>
        <w:rPr>
          <w:rFonts w:cs="Arial"/>
          <w:b/>
        </w:rPr>
        <w:t>IDP</w:t>
      </w:r>
      <w:bookmarkEnd w:id="72"/>
      <w:bookmarkEnd w:id="73"/>
    </w:p>
    <w:p w14:paraId="32894FD1" w14:textId="77777777" w:rsidR="005A6DBB" w:rsidRDefault="00F93099">
      <w:pPr>
        <w:spacing w:before="120" w:after="120"/>
        <w:rPr>
          <w:lang w:val="en-US"/>
        </w:rPr>
      </w:pPr>
      <w:r>
        <w:rPr>
          <w:lang w:val="en-US"/>
        </w:rPr>
        <w:t>The Integrated Development Plan 30 March 2023 highlights the following per service and the impact on the Municipal sustainability:</w:t>
      </w:r>
    </w:p>
    <w:p w14:paraId="58C7DCE4" w14:textId="77777777" w:rsidR="005A6DBB" w:rsidRDefault="00F93099">
      <w:pPr>
        <w:spacing w:before="120" w:after="120"/>
        <w:rPr>
          <w:b/>
          <w:bCs/>
          <w:lang w:val="en-US"/>
        </w:rPr>
      </w:pPr>
      <w:r>
        <w:rPr>
          <w:b/>
          <w:bCs/>
          <w:lang w:val="en-US"/>
        </w:rPr>
        <w:t>Electricity services</w:t>
      </w:r>
    </w:p>
    <w:p w14:paraId="0671FA1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Four embedded generation plants to be installed and commissioned by 30 June 2023.</w:t>
      </w:r>
    </w:p>
    <w:p w14:paraId="5D94D17F" w14:textId="77777777" w:rsidR="005A6DBB" w:rsidRDefault="00F93099">
      <w:pPr>
        <w:spacing w:before="120" w:after="120"/>
        <w:ind w:left="357"/>
        <w:rPr>
          <w:rFonts w:asciiTheme="minorHAnsi" w:hAnsiTheme="minorHAnsi" w:cstheme="minorHAnsi"/>
          <w:szCs w:val="22"/>
          <w:lang w:val="en-US"/>
        </w:rPr>
      </w:pPr>
      <w:r>
        <w:rPr>
          <w:rFonts w:asciiTheme="minorHAnsi" w:hAnsiTheme="minorHAnsi" w:cstheme="minorHAnsi"/>
          <w:szCs w:val="22"/>
          <w:lang w:val="en-US"/>
        </w:rPr>
        <w:t>CENTLEC has a generation license for 103MW.  Only nine (9) approved small scale embedded generation with a total capacity of 1 053 kVA were reported.  This is a relatively small contribution (1%) to the overall demand.  No supporting information could be found regarding the feasibility studies, supporting network readiness and buyback tariffs.</w:t>
      </w:r>
    </w:p>
    <w:p w14:paraId="3135E05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Current losses within NERSA benchmarks.</w:t>
      </w:r>
    </w:p>
    <w:p w14:paraId="7AED007C" w14:textId="77777777" w:rsidR="005A6DBB" w:rsidRDefault="00F93099">
      <w:pPr>
        <w:spacing w:before="120" w:after="120"/>
        <w:ind w:left="357"/>
        <w:rPr>
          <w:rFonts w:asciiTheme="minorHAnsi" w:hAnsiTheme="minorHAnsi" w:cstheme="minorHAnsi"/>
          <w:szCs w:val="22"/>
          <w:lang w:val="en-US"/>
        </w:rPr>
      </w:pPr>
      <w:r>
        <w:rPr>
          <w:rFonts w:asciiTheme="minorHAnsi" w:hAnsiTheme="minorHAnsi" w:cstheme="minorHAnsi"/>
          <w:szCs w:val="22"/>
          <w:lang w:val="en-US"/>
        </w:rPr>
        <w:t>The reported losses stand at 11% which is at the upper level of the acceptable losses for electricity (5-12%).</w:t>
      </w:r>
    </w:p>
    <w:p w14:paraId="713897CB" w14:textId="77777777" w:rsidR="005A6DBB" w:rsidRDefault="00F93099">
      <w:pPr>
        <w:spacing w:before="120" w:after="120"/>
        <w:rPr>
          <w:b/>
          <w:bCs/>
          <w:lang w:val="en-US"/>
        </w:rPr>
      </w:pPr>
      <w:r>
        <w:rPr>
          <w:b/>
          <w:bCs/>
          <w:lang w:val="en-US"/>
        </w:rPr>
        <w:t>Water services</w:t>
      </w:r>
    </w:p>
    <w:p w14:paraId="2324459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1 884 new service connections (disparity with reported figures in A10 report).</w:t>
      </w:r>
    </w:p>
    <w:p w14:paraId="418EEC5A" w14:textId="77777777" w:rsidR="005A6DBB" w:rsidRDefault="00F93099">
      <w:pPr>
        <w:spacing w:before="120" w:after="120"/>
        <w:ind w:left="357"/>
        <w:rPr>
          <w:rFonts w:asciiTheme="minorHAnsi" w:hAnsiTheme="minorHAnsi" w:cstheme="minorHAnsi"/>
          <w:szCs w:val="22"/>
          <w:lang w:val="en-US"/>
        </w:rPr>
      </w:pPr>
      <w:r>
        <w:rPr>
          <w:rFonts w:asciiTheme="minorHAnsi" w:hAnsiTheme="minorHAnsi" w:cstheme="minorHAnsi"/>
          <w:szCs w:val="22"/>
          <w:lang w:val="en-US"/>
        </w:rPr>
        <w:t>The reported demand for water shows a lack of 601ML/day to provide the current customer base. Any new connections will add on to the demand constrained system.</w:t>
      </w:r>
    </w:p>
    <w:p w14:paraId="230E168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38% of water treatment capacity unused.</w:t>
      </w:r>
    </w:p>
    <w:p w14:paraId="6E823C96" w14:textId="77777777" w:rsidR="005A6DBB" w:rsidRDefault="00F93099">
      <w:pPr>
        <w:spacing w:before="120" w:after="120"/>
        <w:ind w:left="357"/>
        <w:rPr>
          <w:rFonts w:asciiTheme="minorHAnsi" w:hAnsiTheme="minorHAnsi" w:cstheme="minorHAnsi"/>
          <w:szCs w:val="22"/>
          <w:lang w:val="en-US"/>
        </w:rPr>
      </w:pPr>
      <w:r>
        <w:rPr>
          <w:rFonts w:asciiTheme="minorHAnsi" w:hAnsiTheme="minorHAnsi" w:cstheme="minorHAnsi"/>
          <w:szCs w:val="22"/>
          <w:lang w:val="en-US"/>
        </w:rPr>
        <w:t>The Water Refurbishment Program needs to be prioritised and accelerated to ensure water security.</w:t>
      </w:r>
    </w:p>
    <w:p w14:paraId="155B2BA6" w14:textId="77777777" w:rsidR="005A6DBB" w:rsidRDefault="00F93099">
      <w:pPr>
        <w:spacing w:before="120" w:after="120"/>
        <w:rPr>
          <w:b/>
          <w:bCs/>
          <w:lang w:val="en-US"/>
        </w:rPr>
      </w:pPr>
      <w:r>
        <w:rPr>
          <w:b/>
          <w:bCs/>
          <w:lang w:val="en-US"/>
        </w:rPr>
        <w:t>Sanitation services</w:t>
      </w:r>
    </w:p>
    <w:p w14:paraId="65A63B2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1 884 new sewer connections.</w:t>
      </w:r>
    </w:p>
    <w:p w14:paraId="3538E5D8" w14:textId="77777777" w:rsidR="005A6DBB" w:rsidRDefault="00F93099">
      <w:pPr>
        <w:pStyle w:val="ListParagraph"/>
        <w:spacing w:before="120" w:after="120" w:line="360" w:lineRule="auto"/>
        <w:ind w:left="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There is capacity on the existing systems to accommodate new sewer connections however if these connections are dependent on the upgrade of the Botshabelo outfall sewer, these can only be realised after the commissioning of the project.</w:t>
      </w:r>
    </w:p>
    <w:p w14:paraId="62D667A8" w14:textId="77777777" w:rsidR="005A6DBB" w:rsidRDefault="00F93099">
      <w:pPr>
        <w:spacing w:before="120" w:after="120"/>
        <w:rPr>
          <w:b/>
          <w:bCs/>
          <w:lang w:val="en-US"/>
        </w:rPr>
      </w:pPr>
      <w:r>
        <w:rPr>
          <w:b/>
          <w:bCs/>
          <w:lang w:val="en-US"/>
        </w:rPr>
        <w:t>Solid Waste services</w:t>
      </w:r>
    </w:p>
    <w:p w14:paraId="5653903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500 000 tons of solid waste processed at Landfills.</w:t>
      </w:r>
    </w:p>
    <w:p w14:paraId="5ED0754E" w14:textId="77777777" w:rsidR="005A6DBB" w:rsidRDefault="00F93099">
      <w:pPr>
        <w:pStyle w:val="ListParagraph"/>
        <w:spacing w:before="120" w:after="120" w:line="360" w:lineRule="auto"/>
        <w:ind w:left="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The processing of Solid Waste is dependent on the fleet for transportation of the collected waste from residents to the landfills sites.  Prioritisation should be given to the acquisition, maintenance and security of this fleet to ensure service delivery and the reliance on contractors for the provision of this service.  Cost/benefit analysis study needs to be done.</w:t>
      </w:r>
    </w:p>
    <w:p w14:paraId="7E311DAE" w14:textId="77777777" w:rsidR="005A6DBB" w:rsidRDefault="00F93099">
      <w:pPr>
        <w:pStyle w:val="ListParagraph"/>
        <w:spacing w:before="120" w:after="120" w:line="360" w:lineRule="auto"/>
        <w:ind w:left="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Further analysis on whether this service should be done internally, externally or combination of both has to done.</w:t>
      </w:r>
    </w:p>
    <w:p w14:paraId="3D4C8F14" w14:textId="77777777" w:rsidR="005A6DBB" w:rsidRDefault="00F93099">
      <w:pPr>
        <w:spacing w:before="120" w:after="120"/>
        <w:rPr>
          <w:b/>
          <w:bCs/>
          <w:lang w:val="en-US"/>
        </w:rPr>
      </w:pPr>
      <w:r>
        <w:rPr>
          <w:b/>
          <w:bCs/>
          <w:lang w:val="en-US"/>
        </w:rPr>
        <w:t>Transport and Roads services</w:t>
      </w:r>
    </w:p>
    <w:p w14:paraId="3D19B74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6.3km of new roads planned for construction.</w:t>
      </w:r>
    </w:p>
    <w:p w14:paraId="1E98DD6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25% of surfaced roads resurfaced and resealed.</w:t>
      </w:r>
    </w:p>
    <w:p w14:paraId="6973BF77" w14:textId="77777777" w:rsidR="005A6DBB" w:rsidRDefault="00F93099">
      <w:pPr>
        <w:pStyle w:val="ListParagraph"/>
        <w:spacing w:before="120" w:after="120" w:line="360" w:lineRule="auto"/>
        <w:ind w:left="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It was reported that only 2.64km of new roads were built which was 1 of 8 projects identified.  The contributing reasons given are 4 namely; lack of budget, ineffective project and contract management, lack of skilled staff and high vacancy rate.  While all these reasons are valid, by implementing effective project and contractor practices and controls will result in a greater percentage of the grant funding been utilised which will impact available funding in the forthcoming years.</w:t>
      </w:r>
    </w:p>
    <w:p w14:paraId="188537C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100% scheduled access points and service stops that are universally accessible.</w:t>
      </w:r>
    </w:p>
    <w:p w14:paraId="49B8ED29" w14:textId="77777777" w:rsidR="005A6DBB" w:rsidRDefault="00F93099">
      <w:pPr>
        <w:pStyle w:val="ListParagraph"/>
        <w:spacing w:before="120" w:after="120" w:line="360" w:lineRule="auto"/>
        <w:ind w:left="357"/>
        <w:contextualSpacing w:val="0"/>
        <w:jc w:val="both"/>
        <w:rPr>
          <w:rFonts w:asciiTheme="minorHAnsi" w:hAnsiTheme="minorHAnsi" w:cstheme="minorHAnsi"/>
          <w:sz w:val="22"/>
          <w:szCs w:val="22"/>
          <w:lang w:val="en-US"/>
        </w:rPr>
      </w:pPr>
      <w:r>
        <w:rPr>
          <w:rFonts w:asciiTheme="minorHAnsi" w:hAnsiTheme="minorHAnsi" w:cstheme="minorHAnsi"/>
          <w:sz w:val="22"/>
          <w:szCs w:val="22"/>
          <w:lang w:val="en-US"/>
        </w:rPr>
        <w:t>The Integrated Public Transport Network (IPTN) program has been implemented: Vehicle, training, access points and service stops implemented.  At the time of this report, the handover process was unfolding.</w:t>
      </w:r>
    </w:p>
    <w:tbl>
      <w:tblPr>
        <w:tblW w:w="0" w:type="auto"/>
        <w:tblLook w:val="04A0" w:firstRow="1" w:lastRow="0" w:firstColumn="1" w:lastColumn="0" w:noHBand="0" w:noVBand="1"/>
      </w:tblPr>
      <w:tblGrid>
        <w:gridCol w:w="1121"/>
        <w:gridCol w:w="1805"/>
        <w:gridCol w:w="3092"/>
        <w:gridCol w:w="3174"/>
      </w:tblGrid>
      <w:tr w:rsidR="005A6DBB" w14:paraId="40A5B970" w14:textId="77777777">
        <w:trPr>
          <w:trHeight w:val="315"/>
          <w:tblHeader/>
        </w:trPr>
        <w:tc>
          <w:tcPr>
            <w:tcW w:w="0" w:type="auto"/>
            <w:tcBorders>
              <w:top w:val="single" w:sz="8" w:space="0" w:color="FFFFFF"/>
              <w:left w:val="single" w:sz="8" w:space="0" w:color="FFFFFF"/>
              <w:bottom w:val="single" w:sz="8" w:space="0" w:color="FFFFFF"/>
              <w:right w:val="single" w:sz="8" w:space="0" w:color="FFFFFF"/>
            </w:tcBorders>
            <w:shd w:val="clear" w:color="000000" w:fill="002060"/>
          </w:tcPr>
          <w:p w14:paraId="566F1602" w14:textId="77777777" w:rsidR="005A6DBB" w:rsidRDefault="00F93099">
            <w:pPr>
              <w:spacing w:before="120" w:after="120"/>
              <w:jc w:val="center"/>
              <w:rPr>
                <w:rFonts w:asciiTheme="minorHAnsi" w:hAnsiTheme="minorHAnsi" w:cstheme="minorHAnsi"/>
                <w:b/>
                <w:bCs/>
                <w:color w:val="FFFFFF"/>
                <w:sz w:val="20"/>
                <w:szCs w:val="22"/>
                <w:lang w:val="en-US"/>
              </w:rPr>
            </w:pPr>
            <w:r>
              <w:rPr>
                <w:b/>
                <w:bCs/>
                <w:color w:val="FFFFFF" w:themeColor="background1"/>
                <w:sz w:val="20"/>
                <w:szCs w:val="22"/>
              </w:rPr>
              <w:t>Focus Area</w:t>
            </w:r>
          </w:p>
        </w:tc>
        <w:tc>
          <w:tcPr>
            <w:tcW w:w="0" w:type="auto"/>
            <w:tcBorders>
              <w:top w:val="single" w:sz="8" w:space="0" w:color="FFFFFF"/>
              <w:left w:val="nil"/>
              <w:bottom w:val="single" w:sz="8" w:space="0" w:color="FFFFFF"/>
              <w:right w:val="single" w:sz="8" w:space="0" w:color="FFFFFF"/>
            </w:tcBorders>
            <w:shd w:val="clear" w:color="000000" w:fill="002060"/>
          </w:tcPr>
          <w:p w14:paraId="7EAC3BF1" w14:textId="77777777" w:rsidR="005A6DBB" w:rsidRDefault="00F93099">
            <w:pPr>
              <w:spacing w:before="120" w:after="120"/>
              <w:jc w:val="center"/>
              <w:rPr>
                <w:rFonts w:asciiTheme="minorHAnsi" w:hAnsiTheme="minorHAnsi" w:cstheme="minorHAnsi"/>
                <w:b/>
                <w:bCs/>
                <w:color w:val="FFFFFF"/>
                <w:sz w:val="20"/>
                <w:szCs w:val="22"/>
                <w:lang w:val="en-US"/>
              </w:rPr>
            </w:pPr>
            <w:r>
              <w:rPr>
                <w:b/>
                <w:bCs/>
                <w:color w:val="FFFFFF" w:themeColor="background1"/>
                <w:sz w:val="20"/>
                <w:szCs w:val="22"/>
              </w:rPr>
              <w:t>Brief Diagnostic Analysis (IDP)</w:t>
            </w:r>
          </w:p>
        </w:tc>
        <w:tc>
          <w:tcPr>
            <w:tcW w:w="0" w:type="auto"/>
            <w:tcBorders>
              <w:top w:val="single" w:sz="8" w:space="0" w:color="FFFFFF"/>
              <w:left w:val="nil"/>
              <w:bottom w:val="single" w:sz="8" w:space="0" w:color="FFFFFF"/>
              <w:right w:val="single" w:sz="8" w:space="0" w:color="FFFFFF"/>
            </w:tcBorders>
            <w:shd w:val="clear" w:color="000000" w:fill="002060"/>
          </w:tcPr>
          <w:p w14:paraId="30847800" w14:textId="77777777" w:rsidR="005A6DBB" w:rsidRDefault="00F93099">
            <w:pPr>
              <w:spacing w:before="120" w:after="120"/>
              <w:jc w:val="center"/>
              <w:rPr>
                <w:rFonts w:asciiTheme="minorHAnsi" w:hAnsiTheme="minorHAnsi" w:cstheme="minorHAnsi"/>
                <w:b/>
                <w:bCs/>
                <w:color w:val="FFFFFF"/>
                <w:sz w:val="20"/>
                <w:szCs w:val="22"/>
                <w:lang w:val="en-US"/>
              </w:rPr>
            </w:pPr>
            <w:r>
              <w:rPr>
                <w:b/>
                <w:bCs/>
                <w:color w:val="FFFFFF" w:themeColor="background1"/>
                <w:sz w:val="20"/>
                <w:szCs w:val="22"/>
              </w:rPr>
              <w:t>Effect on Sustainability</w:t>
            </w:r>
          </w:p>
        </w:tc>
        <w:tc>
          <w:tcPr>
            <w:tcW w:w="0" w:type="auto"/>
            <w:tcBorders>
              <w:top w:val="single" w:sz="8" w:space="0" w:color="FFFFFF"/>
              <w:left w:val="nil"/>
              <w:bottom w:val="single" w:sz="8" w:space="0" w:color="FFFFFF"/>
              <w:right w:val="single" w:sz="8" w:space="0" w:color="FFFFFF"/>
            </w:tcBorders>
            <w:shd w:val="clear" w:color="000000" w:fill="002060"/>
          </w:tcPr>
          <w:p w14:paraId="64FC5DC2" w14:textId="77777777" w:rsidR="005A6DBB" w:rsidRDefault="00F93099">
            <w:pPr>
              <w:spacing w:before="120" w:after="120"/>
              <w:jc w:val="center"/>
              <w:rPr>
                <w:rFonts w:asciiTheme="minorHAnsi" w:hAnsiTheme="minorHAnsi" w:cstheme="minorHAnsi"/>
                <w:b/>
                <w:bCs/>
                <w:color w:val="008080"/>
                <w:sz w:val="20"/>
                <w:szCs w:val="22"/>
                <w:u w:val="single"/>
                <w:lang w:val="en-US"/>
              </w:rPr>
            </w:pPr>
            <w:r>
              <w:rPr>
                <w:b/>
                <w:bCs/>
                <w:color w:val="FFFFFF" w:themeColor="background1"/>
                <w:sz w:val="20"/>
                <w:szCs w:val="22"/>
              </w:rPr>
              <w:t>Proposed Strategy to Resolve</w:t>
            </w:r>
          </w:p>
        </w:tc>
      </w:tr>
      <w:tr w:rsidR="005A6DBB" w14:paraId="43F58CB8" w14:textId="77777777">
        <w:trPr>
          <w:trHeight w:val="1020"/>
        </w:trPr>
        <w:tc>
          <w:tcPr>
            <w:tcW w:w="0" w:type="auto"/>
            <w:vMerge w:val="restart"/>
            <w:tcBorders>
              <w:top w:val="nil"/>
              <w:left w:val="single" w:sz="8" w:space="0" w:color="FFFFFF"/>
              <w:bottom w:val="single" w:sz="8" w:space="0" w:color="FFFFFF"/>
              <w:right w:val="single" w:sz="8" w:space="0" w:color="FFFFFF"/>
            </w:tcBorders>
            <w:shd w:val="clear" w:color="000000" w:fill="D4E1ED"/>
          </w:tcPr>
          <w:p w14:paraId="30C7CEFC"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rPr>
              <w:t>Electricity</w:t>
            </w:r>
          </w:p>
        </w:tc>
        <w:tc>
          <w:tcPr>
            <w:tcW w:w="0" w:type="auto"/>
            <w:vMerge w:val="restart"/>
            <w:tcBorders>
              <w:top w:val="nil"/>
              <w:left w:val="single" w:sz="8" w:space="0" w:color="FFFFFF"/>
              <w:bottom w:val="nil"/>
              <w:right w:val="single" w:sz="8" w:space="0" w:color="FFFFFF"/>
            </w:tcBorders>
            <w:shd w:val="clear" w:color="000000" w:fill="D4E1ED"/>
          </w:tcPr>
          <w:p w14:paraId="7C5C7674"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Four embedded generation plants to be installed and commissioned by 30 June 2023.</w:t>
            </w:r>
          </w:p>
        </w:tc>
        <w:tc>
          <w:tcPr>
            <w:tcW w:w="0" w:type="auto"/>
            <w:tcBorders>
              <w:top w:val="nil"/>
              <w:left w:val="nil"/>
              <w:bottom w:val="nil"/>
              <w:right w:val="single" w:sz="8" w:space="0" w:color="FFFFFF"/>
            </w:tcBorders>
            <w:shd w:val="clear" w:color="000000" w:fill="D4E1ED"/>
          </w:tcPr>
          <w:p w14:paraId="02394957"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CENTLEC has a generation license for 103MW.  Only nine (9) approved small scale embedded generation with a total capacity of 1 053 kVA were reported.  This is a relatively small contribution (1%) to the overall demand.  No supporting information could be found regarding the feasibility studies, supporting network readiness and buyback tariffs.</w:t>
            </w:r>
          </w:p>
        </w:tc>
        <w:tc>
          <w:tcPr>
            <w:tcW w:w="0" w:type="auto"/>
            <w:tcBorders>
              <w:top w:val="nil"/>
              <w:left w:val="nil"/>
              <w:bottom w:val="nil"/>
              <w:right w:val="single" w:sz="8" w:space="0" w:color="FFFFFF"/>
            </w:tcBorders>
            <w:shd w:val="clear" w:color="000000" w:fill="D4E1ED"/>
          </w:tcPr>
          <w:p w14:paraId="6ABF3232"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Large scale embedded generation projects should be considered where meaningful contribution to alleviating the consumer demand and reliance on Eskom is made.</w:t>
            </w:r>
          </w:p>
        </w:tc>
      </w:tr>
      <w:tr w:rsidR="005A6DBB" w14:paraId="14CDB1D6" w14:textId="77777777">
        <w:trPr>
          <w:trHeight w:val="780"/>
        </w:trPr>
        <w:tc>
          <w:tcPr>
            <w:tcW w:w="0" w:type="auto"/>
            <w:vMerge/>
            <w:tcBorders>
              <w:top w:val="nil"/>
              <w:left w:val="single" w:sz="8" w:space="0" w:color="FFFFFF"/>
              <w:bottom w:val="single" w:sz="8" w:space="0" w:color="FFFFFF"/>
              <w:right w:val="single" w:sz="8" w:space="0" w:color="FFFFFF"/>
            </w:tcBorders>
            <w:vAlign w:val="center"/>
          </w:tcPr>
          <w:p w14:paraId="3E24568C"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nil"/>
              <w:left w:val="single" w:sz="8" w:space="0" w:color="FFFFFF"/>
              <w:bottom w:val="nil"/>
              <w:right w:val="single" w:sz="8" w:space="0" w:color="FFFFFF"/>
            </w:tcBorders>
            <w:vAlign w:val="center"/>
          </w:tcPr>
          <w:p w14:paraId="1318FB53"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D4E1ED"/>
            <w:vAlign w:val="center"/>
          </w:tcPr>
          <w:p w14:paraId="406E570D"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w:t>
            </w:r>
          </w:p>
        </w:tc>
        <w:tc>
          <w:tcPr>
            <w:tcW w:w="0" w:type="auto"/>
            <w:tcBorders>
              <w:top w:val="nil"/>
              <w:left w:val="nil"/>
              <w:bottom w:val="single" w:sz="8" w:space="0" w:color="FFFFFF"/>
              <w:right w:val="single" w:sz="8" w:space="0" w:color="FFFFFF"/>
            </w:tcBorders>
            <w:shd w:val="clear" w:color="000000" w:fill="D4E1ED"/>
          </w:tcPr>
          <w:p w14:paraId="640E5487"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rPr>
              <w:t>Tariff structures must be finalised is MMM intends on buying power from small scale generation plants.</w:t>
            </w:r>
          </w:p>
        </w:tc>
      </w:tr>
      <w:tr w:rsidR="005A6DBB" w14:paraId="14997E14" w14:textId="77777777">
        <w:trPr>
          <w:trHeight w:val="1035"/>
        </w:trPr>
        <w:tc>
          <w:tcPr>
            <w:tcW w:w="0" w:type="auto"/>
            <w:vMerge/>
            <w:tcBorders>
              <w:top w:val="nil"/>
              <w:left w:val="single" w:sz="8" w:space="0" w:color="FFFFFF"/>
              <w:bottom w:val="single" w:sz="8" w:space="0" w:color="FFFFFF"/>
              <w:right w:val="single" w:sz="8" w:space="0" w:color="FFFFFF"/>
            </w:tcBorders>
            <w:vAlign w:val="center"/>
          </w:tcPr>
          <w:p w14:paraId="322C1CB6"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nil"/>
              <w:left w:val="single" w:sz="8" w:space="0" w:color="FFFFFF"/>
              <w:bottom w:val="nil"/>
              <w:right w:val="single" w:sz="8" w:space="0" w:color="FFFFFF"/>
            </w:tcBorders>
            <w:vAlign w:val="center"/>
          </w:tcPr>
          <w:p w14:paraId="61562DE9"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D4E1ED"/>
            <w:vAlign w:val="center"/>
          </w:tcPr>
          <w:p w14:paraId="422C1B89"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w:t>
            </w:r>
          </w:p>
        </w:tc>
        <w:tc>
          <w:tcPr>
            <w:tcW w:w="0" w:type="auto"/>
            <w:tcBorders>
              <w:top w:val="nil"/>
              <w:left w:val="nil"/>
              <w:bottom w:val="single" w:sz="8" w:space="0" w:color="FFFFFF"/>
              <w:right w:val="single" w:sz="8" w:space="0" w:color="FFFFFF"/>
            </w:tcBorders>
            <w:shd w:val="clear" w:color="000000" w:fill="D4E1ED"/>
          </w:tcPr>
          <w:p w14:paraId="31293315"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Feasibility studies including life cycle costing analysis, Grid impact studies and compliance to Grid codes and NERSA requirements should be done.</w:t>
            </w:r>
          </w:p>
        </w:tc>
      </w:tr>
      <w:tr w:rsidR="005A6DBB" w14:paraId="5F104C93" w14:textId="77777777">
        <w:trPr>
          <w:trHeight w:val="1545"/>
        </w:trPr>
        <w:tc>
          <w:tcPr>
            <w:tcW w:w="0" w:type="auto"/>
            <w:vMerge/>
            <w:tcBorders>
              <w:top w:val="nil"/>
              <w:left w:val="single" w:sz="8" w:space="0" w:color="FFFFFF"/>
              <w:bottom w:val="single" w:sz="8" w:space="0" w:color="FFFFFF"/>
              <w:right w:val="single" w:sz="8" w:space="0" w:color="FFFFFF"/>
            </w:tcBorders>
            <w:vAlign w:val="center"/>
          </w:tcPr>
          <w:p w14:paraId="5F8689C0" w14:textId="77777777" w:rsidR="005A6DBB" w:rsidRDefault="005A6DBB">
            <w:pPr>
              <w:spacing w:before="120" w:after="120"/>
              <w:rPr>
                <w:rFonts w:asciiTheme="minorHAnsi" w:hAnsiTheme="minorHAnsi" w:cstheme="minorHAnsi"/>
                <w:b/>
                <w:bCs/>
                <w:color w:val="000000"/>
                <w:sz w:val="20"/>
                <w:szCs w:val="20"/>
                <w:lang w:val="en-US"/>
              </w:rPr>
            </w:pPr>
          </w:p>
        </w:tc>
        <w:tc>
          <w:tcPr>
            <w:tcW w:w="0" w:type="auto"/>
            <w:tcBorders>
              <w:top w:val="nil"/>
              <w:left w:val="nil"/>
              <w:bottom w:val="single" w:sz="8" w:space="0" w:color="FFFFFF"/>
              <w:right w:val="single" w:sz="8" w:space="0" w:color="FFFFFF"/>
            </w:tcBorders>
            <w:shd w:val="clear" w:color="000000" w:fill="D4E1ED"/>
          </w:tcPr>
          <w:p w14:paraId="475F6557"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Current losses within NERSA benchmarks.</w:t>
            </w:r>
          </w:p>
        </w:tc>
        <w:tc>
          <w:tcPr>
            <w:tcW w:w="0" w:type="auto"/>
            <w:tcBorders>
              <w:top w:val="nil"/>
              <w:left w:val="nil"/>
              <w:bottom w:val="single" w:sz="8" w:space="0" w:color="FFFFFF"/>
              <w:right w:val="single" w:sz="8" w:space="0" w:color="FFFFFF"/>
            </w:tcBorders>
            <w:shd w:val="clear" w:color="000000" w:fill="D4E1ED"/>
          </w:tcPr>
          <w:p w14:paraId="31BF853C"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 reported losses stand at 11% which is at the upper cusp level of the acceptable losses for electricity NERSA benchmark of 5-12%.</w:t>
            </w:r>
          </w:p>
        </w:tc>
        <w:tc>
          <w:tcPr>
            <w:tcW w:w="0" w:type="auto"/>
            <w:tcBorders>
              <w:top w:val="nil"/>
              <w:left w:val="nil"/>
              <w:bottom w:val="single" w:sz="8" w:space="0" w:color="FFFFFF"/>
              <w:right w:val="single" w:sz="8" w:space="0" w:color="FFFFFF"/>
            </w:tcBorders>
            <w:shd w:val="clear" w:color="000000" w:fill="D4E1ED"/>
          </w:tcPr>
          <w:p w14:paraId="1B672557"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A network study must be undertaken to determine the reasons for the increase losses and outcomes must be implemented through projects to ensure the losses do not spiral upwards to above the acceptable norms.</w:t>
            </w:r>
          </w:p>
        </w:tc>
      </w:tr>
      <w:tr w:rsidR="005A6DBB" w14:paraId="0308695F" w14:textId="77777777">
        <w:trPr>
          <w:trHeight w:val="2295"/>
        </w:trPr>
        <w:tc>
          <w:tcPr>
            <w:tcW w:w="0" w:type="auto"/>
            <w:vMerge w:val="restart"/>
            <w:tcBorders>
              <w:top w:val="nil"/>
              <w:left w:val="single" w:sz="8" w:space="0" w:color="FFFFFF"/>
              <w:bottom w:val="single" w:sz="8" w:space="0" w:color="FFFFFF"/>
              <w:right w:val="single" w:sz="8" w:space="0" w:color="FFFFFF"/>
            </w:tcBorders>
            <w:shd w:val="clear" w:color="000000" w:fill="BED3E4"/>
          </w:tcPr>
          <w:p w14:paraId="0F5698AB"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rPr>
              <w:t>Water</w:t>
            </w:r>
          </w:p>
        </w:tc>
        <w:tc>
          <w:tcPr>
            <w:tcW w:w="0" w:type="auto"/>
            <w:tcBorders>
              <w:top w:val="nil"/>
              <w:left w:val="nil"/>
              <w:bottom w:val="nil"/>
              <w:right w:val="single" w:sz="8" w:space="0" w:color="FFFFFF"/>
            </w:tcBorders>
            <w:shd w:val="clear" w:color="000000" w:fill="BED3E4"/>
          </w:tcPr>
          <w:p w14:paraId="082B95DE"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1 884 new service connections (SDBIP 2022/23).</w:t>
            </w:r>
          </w:p>
        </w:tc>
        <w:tc>
          <w:tcPr>
            <w:tcW w:w="0" w:type="auto"/>
            <w:tcBorders>
              <w:top w:val="nil"/>
              <w:left w:val="nil"/>
              <w:bottom w:val="nil"/>
              <w:right w:val="single" w:sz="8" w:space="0" w:color="FFFFFF"/>
            </w:tcBorders>
            <w:shd w:val="clear" w:color="000000" w:fill="BED3E4"/>
          </w:tcPr>
          <w:p w14:paraId="0B210C8A"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 reported demand for water shows a lack of 60ML/day to provide the current customer base. Any new connections will add on to the demand constrained system.</w:t>
            </w:r>
          </w:p>
        </w:tc>
        <w:tc>
          <w:tcPr>
            <w:tcW w:w="0" w:type="auto"/>
            <w:tcBorders>
              <w:top w:val="nil"/>
              <w:left w:val="nil"/>
              <w:bottom w:val="nil"/>
              <w:right w:val="single" w:sz="8" w:space="0" w:color="FFFFFF"/>
            </w:tcBorders>
            <w:shd w:val="clear" w:color="000000" w:fill="BED3E4"/>
          </w:tcPr>
          <w:p w14:paraId="0DEAC807"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 xml:space="preserve">Two projects need to be prioritised to provide the ability to meet the demand. </w:t>
            </w:r>
            <w:proofErr w:type="spellStart"/>
            <w:r>
              <w:rPr>
                <w:rFonts w:asciiTheme="minorHAnsi" w:hAnsiTheme="minorHAnsi" w:cstheme="minorHAnsi"/>
                <w:color w:val="000000"/>
                <w:sz w:val="20"/>
                <w:szCs w:val="20"/>
              </w:rPr>
              <w:t>Maselpoort</w:t>
            </w:r>
            <w:proofErr w:type="spellEnd"/>
            <w:r>
              <w:rPr>
                <w:rFonts w:asciiTheme="minorHAnsi" w:hAnsiTheme="minorHAnsi" w:cstheme="minorHAnsi"/>
                <w:color w:val="000000"/>
                <w:sz w:val="20"/>
                <w:szCs w:val="20"/>
              </w:rPr>
              <w:t xml:space="preserve"> Water treatment plant, when commissioned will increase the capacity and alleviate the constrained network.  This project is reported as experiencing budgetary constraints as reported in the annual consolidated financial statements on 2021/22.</w:t>
            </w:r>
          </w:p>
        </w:tc>
      </w:tr>
      <w:tr w:rsidR="005A6DBB" w14:paraId="268F9E63" w14:textId="77777777">
        <w:trPr>
          <w:trHeight w:val="1035"/>
        </w:trPr>
        <w:tc>
          <w:tcPr>
            <w:tcW w:w="0" w:type="auto"/>
            <w:vMerge/>
            <w:tcBorders>
              <w:top w:val="nil"/>
              <w:left w:val="single" w:sz="8" w:space="0" w:color="FFFFFF"/>
              <w:bottom w:val="single" w:sz="8" w:space="0" w:color="FFFFFF"/>
              <w:right w:val="single" w:sz="8" w:space="0" w:color="FFFFFF"/>
            </w:tcBorders>
            <w:vAlign w:val="center"/>
          </w:tcPr>
          <w:p w14:paraId="74BF1728"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val="restart"/>
            <w:tcBorders>
              <w:top w:val="nil"/>
              <w:left w:val="single" w:sz="8" w:space="0" w:color="FFFFFF"/>
              <w:bottom w:val="single" w:sz="8" w:space="0" w:color="FFFFFF"/>
              <w:right w:val="single" w:sz="8" w:space="0" w:color="FFFFFF"/>
            </w:tcBorders>
            <w:shd w:val="clear" w:color="000000" w:fill="BED3E4"/>
            <w:vAlign w:val="center"/>
          </w:tcPr>
          <w:p w14:paraId="61E85BD5" w14:textId="77777777" w:rsidR="005A6DBB" w:rsidRDefault="005A6DBB">
            <w:pPr>
              <w:spacing w:before="120" w:after="120"/>
              <w:rPr>
                <w:rFonts w:asciiTheme="minorHAnsi" w:hAnsiTheme="minorHAnsi" w:cstheme="minorHAnsi"/>
                <w:color w:val="000000"/>
                <w:sz w:val="20"/>
                <w:szCs w:val="20"/>
                <w:lang w:val="en-US"/>
              </w:rPr>
            </w:pPr>
          </w:p>
        </w:tc>
        <w:tc>
          <w:tcPr>
            <w:tcW w:w="0" w:type="auto"/>
            <w:vMerge w:val="restart"/>
            <w:tcBorders>
              <w:top w:val="nil"/>
              <w:left w:val="single" w:sz="8" w:space="0" w:color="FFFFFF"/>
              <w:bottom w:val="single" w:sz="8" w:space="0" w:color="FFFFFF"/>
              <w:right w:val="single" w:sz="8" w:space="0" w:color="FFFFFF"/>
            </w:tcBorders>
            <w:shd w:val="clear" w:color="000000" w:fill="BED3E4"/>
          </w:tcPr>
          <w:p w14:paraId="2A17E65A"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BED3E4"/>
          </w:tcPr>
          <w:p w14:paraId="71ECDAB7" w14:textId="77777777" w:rsidR="005A6DBB" w:rsidRDefault="00F93099">
            <w:pPr>
              <w:spacing w:before="120" w:after="120"/>
              <w:rPr>
                <w:rFonts w:asciiTheme="minorHAnsi" w:hAnsiTheme="minorHAnsi" w:cstheme="minorHAnsi"/>
                <w:color w:val="000000"/>
                <w:sz w:val="20"/>
                <w:szCs w:val="20"/>
              </w:rPr>
            </w:pPr>
            <w:r>
              <w:rPr>
                <w:rFonts w:asciiTheme="minorHAnsi" w:hAnsiTheme="minorHAnsi" w:cstheme="minorHAnsi"/>
                <w:color w:val="000000"/>
                <w:sz w:val="20"/>
                <w:szCs w:val="20"/>
              </w:rPr>
              <w:t>Masterplans and Asset Management Plans (AMPs) must be finalised and approved.</w:t>
            </w:r>
          </w:p>
        </w:tc>
      </w:tr>
      <w:tr w:rsidR="005A6DBB" w14:paraId="1461008B" w14:textId="77777777">
        <w:trPr>
          <w:trHeight w:val="510"/>
        </w:trPr>
        <w:tc>
          <w:tcPr>
            <w:tcW w:w="0" w:type="auto"/>
            <w:vMerge/>
            <w:tcBorders>
              <w:top w:val="nil"/>
              <w:left w:val="single" w:sz="8" w:space="0" w:color="FFFFFF"/>
              <w:bottom w:val="single" w:sz="8" w:space="0" w:color="FFFFFF"/>
              <w:right w:val="single" w:sz="8" w:space="0" w:color="FFFFFF"/>
            </w:tcBorders>
            <w:vAlign w:val="center"/>
          </w:tcPr>
          <w:p w14:paraId="6EBBF1D6"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tcPr>
          <w:p w14:paraId="3B398F96" w14:textId="77777777" w:rsidR="005A6DBB" w:rsidRDefault="005A6DBB">
            <w:pPr>
              <w:spacing w:before="120" w:after="120"/>
              <w:rPr>
                <w:rFonts w:asciiTheme="minorHAnsi" w:hAnsiTheme="minorHAnsi" w:cstheme="minorHAnsi"/>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tcPr>
          <w:p w14:paraId="2A463640"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BED3E4"/>
          </w:tcPr>
          <w:p w14:paraId="629BF709" w14:textId="77777777" w:rsidR="005A6DBB" w:rsidRDefault="00F93099">
            <w:pPr>
              <w:spacing w:before="120" w:after="120"/>
              <w:rPr>
                <w:rFonts w:asciiTheme="minorHAnsi" w:hAnsiTheme="minorHAnsi" w:cstheme="minorHAnsi"/>
                <w:color w:val="000000"/>
                <w:sz w:val="20"/>
                <w:szCs w:val="20"/>
              </w:rPr>
            </w:pPr>
            <w:r>
              <w:rPr>
                <w:rFonts w:asciiTheme="minorHAnsi" w:hAnsiTheme="minorHAnsi" w:cstheme="minorHAnsi"/>
                <w:color w:val="000000"/>
                <w:sz w:val="20"/>
                <w:szCs w:val="20"/>
              </w:rPr>
              <w:t>Projects must be prioritised and ranked for implementation.</w:t>
            </w:r>
          </w:p>
        </w:tc>
      </w:tr>
      <w:tr w:rsidR="005A6DBB" w14:paraId="6F413FE9" w14:textId="77777777">
        <w:trPr>
          <w:trHeight w:val="525"/>
        </w:trPr>
        <w:tc>
          <w:tcPr>
            <w:tcW w:w="0" w:type="auto"/>
            <w:vMerge/>
            <w:tcBorders>
              <w:top w:val="nil"/>
              <w:left w:val="single" w:sz="8" w:space="0" w:color="FFFFFF"/>
              <w:bottom w:val="single" w:sz="8" w:space="0" w:color="FFFFFF"/>
              <w:right w:val="single" w:sz="8" w:space="0" w:color="FFFFFF"/>
            </w:tcBorders>
            <w:vAlign w:val="center"/>
          </w:tcPr>
          <w:p w14:paraId="685E9A07"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tcPr>
          <w:p w14:paraId="1047EDF7" w14:textId="77777777" w:rsidR="005A6DBB" w:rsidRDefault="005A6DBB">
            <w:pPr>
              <w:spacing w:before="120" w:after="120"/>
              <w:rPr>
                <w:rFonts w:asciiTheme="minorHAnsi" w:hAnsiTheme="minorHAnsi" w:cstheme="minorHAnsi"/>
                <w:color w:val="000000"/>
                <w:sz w:val="20"/>
                <w:szCs w:val="20"/>
                <w:lang w:val="en-US"/>
              </w:rPr>
            </w:pPr>
          </w:p>
        </w:tc>
        <w:tc>
          <w:tcPr>
            <w:tcW w:w="0" w:type="auto"/>
            <w:vMerge/>
            <w:tcBorders>
              <w:top w:val="nil"/>
              <w:left w:val="single" w:sz="8" w:space="0" w:color="FFFFFF"/>
              <w:bottom w:val="single" w:sz="8" w:space="0" w:color="FFFFFF"/>
              <w:right w:val="single" w:sz="8" w:space="0" w:color="FFFFFF"/>
            </w:tcBorders>
            <w:vAlign w:val="center"/>
          </w:tcPr>
          <w:p w14:paraId="3280D407"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BED3E4"/>
          </w:tcPr>
          <w:p w14:paraId="1352EC55" w14:textId="77777777" w:rsidR="005A6DBB" w:rsidRDefault="00F93099">
            <w:pPr>
              <w:spacing w:before="120" w:after="120"/>
              <w:rPr>
                <w:rFonts w:asciiTheme="minorHAnsi" w:hAnsiTheme="minorHAnsi" w:cstheme="minorHAnsi"/>
                <w:color w:val="000000"/>
                <w:sz w:val="20"/>
                <w:szCs w:val="20"/>
              </w:rPr>
            </w:pPr>
            <w:r>
              <w:rPr>
                <w:rFonts w:asciiTheme="minorHAnsi" w:hAnsiTheme="minorHAnsi" w:cstheme="minorHAnsi"/>
                <w:color w:val="000000"/>
                <w:sz w:val="20"/>
                <w:szCs w:val="20"/>
              </w:rPr>
              <w:t>Maintenance budgets must be made available to upkeep the service delivery assets.</w:t>
            </w:r>
          </w:p>
        </w:tc>
      </w:tr>
      <w:tr w:rsidR="005A6DBB" w14:paraId="4DAD6009" w14:textId="77777777">
        <w:trPr>
          <w:trHeight w:val="2055"/>
        </w:trPr>
        <w:tc>
          <w:tcPr>
            <w:tcW w:w="0" w:type="auto"/>
            <w:tcBorders>
              <w:top w:val="nil"/>
              <w:left w:val="single" w:sz="8" w:space="0" w:color="FFFFFF"/>
              <w:bottom w:val="nil"/>
              <w:right w:val="single" w:sz="8" w:space="0" w:color="FFFFFF"/>
            </w:tcBorders>
            <w:shd w:val="clear" w:color="000000" w:fill="D4E1ED"/>
          </w:tcPr>
          <w:p w14:paraId="353DAEFA"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rPr>
              <w:t>Sanitation</w:t>
            </w:r>
          </w:p>
        </w:tc>
        <w:tc>
          <w:tcPr>
            <w:tcW w:w="0" w:type="auto"/>
            <w:tcBorders>
              <w:top w:val="nil"/>
              <w:left w:val="nil"/>
              <w:bottom w:val="nil"/>
              <w:right w:val="single" w:sz="8" w:space="0" w:color="FFFFFF"/>
            </w:tcBorders>
            <w:shd w:val="clear" w:color="000000" w:fill="D4E1ED"/>
          </w:tcPr>
          <w:p w14:paraId="1A6E84DD"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1 884 new sewer connections.</w:t>
            </w:r>
          </w:p>
        </w:tc>
        <w:tc>
          <w:tcPr>
            <w:tcW w:w="0" w:type="auto"/>
            <w:tcBorders>
              <w:top w:val="nil"/>
              <w:left w:val="nil"/>
              <w:bottom w:val="nil"/>
              <w:right w:val="single" w:sz="8" w:space="0" w:color="FFFFFF"/>
            </w:tcBorders>
            <w:shd w:val="clear" w:color="000000" w:fill="D4E1ED"/>
          </w:tcPr>
          <w:p w14:paraId="1CEBD62C"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There is capacity on the existing systems to accommodate new sewer connections however if these connections are dependent on the upgrade of the Botshabelo outfall sewer, these can only be realised after the commissioning of the project.  This project is reported a halted due to budgetary constraints.</w:t>
            </w:r>
          </w:p>
        </w:tc>
        <w:tc>
          <w:tcPr>
            <w:tcW w:w="0" w:type="auto"/>
            <w:tcBorders>
              <w:top w:val="nil"/>
              <w:left w:val="nil"/>
              <w:bottom w:val="nil"/>
              <w:right w:val="single" w:sz="8" w:space="0" w:color="FFFFFF"/>
            </w:tcBorders>
            <w:shd w:val="clear" w:color="000000" w:fill="D4E1ED"/>
          </w:tcPr>
          <w:p w14:paraId="1E841F31"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Botshabelo Outfall sewer upgrade project must be prioritised as this is affecting service delivery.</w:t>
            </w:r>
          </w:p>
        </w:tc>
      </w:tr>
      <w:tr w:rsidR="005A6DBB" w14:paraId="4E378190" w14:textId="77777777">
        <w:trPr>
          <w:trHeight w:val="2295"/>
        </w:trPr>
        <w:tc>
          <w:tcPr>
            <w:tcW w:w="0" w:type="auto"/>
            <w:vMerge w:val="restart"/>
            <w:tcBorders>
              <w:top w:val="single" w:sz="8" w:space="0" w:color="FFFFFF"/>
              <w:left w:val="single" w:sz="8" w:space="0" w:color="FFFFFF"/>
              <w:bottom w:val="single" w:sz="8" w:space="0" w:color="FFFFFF"/>
              <w:right w:val="single" w:sz="8" w:space="0" w:color="FFFFFF"/>
            </w:tcBorders>
            <w:shd w:val="clear" w:color="000000" w:fill="BED3E4"/>
          </w:tcPr>
          <w:p w14:paraId="0F4A0CD1"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rPr>
              <w:t>Solid Waste</w:t>
            </w:r>
          </w:p>
        </w:tc>
        <w:tc>
          <w:tcPr>
            <w:tcW w:w="0" w:type="auto"/>
            <w:vMerge w:val="restart"/>
            <w:tcBorders>
              <w:top w:val="single" w:sz="8" w:space="0" w:color="FFFFFF"/>
              <w:left w:val="single" w:sz="8" w:space="0" w:color="FFFFFF"/>
              <w:bottom w:val="single" w:sz="8" w:space="0" w:color="FFFFFF"/>
              <w:right w:val="single" w:sz="8" w:space="0" w:color="FFFFFF"/>
            </w:tcBorders>
            <w:shd w:val="clear" w:color="000000" w:fill="BED3E4"/>
          </w:tcPr>
          <w:p w14:paraId="26DA75B5"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500 000 tons of solid waste processed at Landfills per capita (per household) annually.</w:t>
            </w:r>
          </w:p>
        </w:tc>
        <w:tc>
          <w:tcPr>
            <w:tcW w:w="0" w:type="auto"/>
            <w:tcBorders>
              <w:top w:val="nil"/>
              <w:left w:val="nil"/>
              <w:bottom w:val="nil"/>
              <w:right w:val="single" w:sz="8" w:space="0" w:color="FFFFFF"/>
            </w:tcBorders>
            <w:shd w:val="clear" w:color="000000" w:fill="BED3E4"/>
          </w:tcPr>
          <w:p w14:paraId="25E27B0B"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 xml:space="preserve">The processing of Solid Waste is dependent on the fleet for transportation of the collected waste from residents to the landfill’s sites.  Prioritisation should be given to the acquisition, maintenance and security of this fleet and plant to ensure service delivery and reduce or remove the reliance on contractors for the provision of this service. </w:t>
            </w:r>
          </w:p>
        </w:tc>
        <w:tc>
          <w:tcPr>
            <w:tcW w:w="0" w:type="auto"/>
            <w:tcBorders>
              <w:top w:val="single" w:sz="8" w:space="0" w:color="FFFFFF"/>
              <w:left w:val="nil"/>
              <w:bottom w:val="nil"/>
              <w:right w:val="single" w:sz="8" w:space="0" w:color="FFFFFF"/>
            </w:tcBorders>
            <w:shd w:val="clear" w:color="000000" w:fill="BED3E4"/>
          </w:tcPr>
          <w:p w14:paraId="7C972A1C" w14:textId="77777777" w:rsidR="005A6DBB" w:rsidRDefault="00F93099">
            <w:pPr>
              <w:spacing w:before="120" w:after="120"/>
              <w:jc w:val="left"/>
              <w:rPr>
                <w:rFonts w:asciiTheme="minorHAnsi" w:hAnsiTheme="minorHAnsi" w:cstheme="minorHAnsi"/>
                <w:color w:val="000000"/>
                <w:sz w:val="20"/>
                <w:szCs w:val="20"/>
              </w:rPr>
            </w:pPr>
            <w:r>
              <w:rPr>
                <w:rFonts w:asciiTheme="minorHAnsi" w:hAnsiTheme="minorHAnsi" w:cstheme="minorHAnsi"/>
                <w:color w:val="000000"/>
                <w:sz w:val="20"/>
                <w:szCs w:val="20"/>
              </w:rPr>
              <w:t>Cost benefit analysis study needs to be done to determine if this service should be provided internally, externally (contractors) or a combination of both.</w:t>
            </w:r>
          </w:p>
        </w:tc>
      </w:tr>
      <w:tr w:rsidR="005A6DBB" w14:paraId="465808C8" w14:textId="77777777">
        <w:trPr>
          <w:trHeight w:val="510"/>
        </w:trPr>
        <w:tc>
          <w:tcPr>
            <w:tcW w:w="0" w:type="auto"/>
            <w:vMerge/>
            <w:tcBorders>
              <w:top w:val="single" w:sz="8" w:space="0" w:color="FFFFFF"/>
              <w:left w:val="single" w:sz="8" w:space="0" w:color="FFFFFF"/>
              <w:bottom w:val="single" w:sz="8" w:space="0" w:color="FFFFFF"/>
              <w:right w:val="single" w:sz="8" w:space="0" w:color="FFFFFF"/>
            </w:tcBorders>
            <w:vAlign w:val="center"/>
          </w:tcPr>
          <w:p w14:paraId="427241DC"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tcPr>
          <w:p w14:paraId="345578E1"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BED3E4"/>
            <w:vAlign w:val="center"/>
          </w:tcPr>
          <w:p w14:paraId="4E0B0F0D"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w:t>
            </w:r>
          </w:p>
        </w:tc>
        <w:tc>
          <w:tcPr>
            <w:tcW w:w="0" w:type="auto"/>
            <w:tcBorders>
              <w:top w:val="nil"/>
              <w:left w:val="nil"/>
              <w:bottom w:val="nil"/>
              <w:right w:val="single" w:sz="8" w:space="0" w:color="FFFFFF"/>
            </w:tcBorders>
            <w:shd w:val="clear" w:color="000000" w:fill="BED3E4"/>
          </w:tcPr>
          <w:p w14:paraId="194D5239"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 maintenance workshop needs to be staffed with qualified personnel.</w:t>
            </w:r>
          </w:p>
        </w:tc>
      </w:tr>
      <w:tr w:rsidR="005A6DBB" w14:paraId="650223C4" w14:textId="77777777">
        <w:trPr>
          <w:trHeight w:val="510"/>
        </w:trPr>
        <w:tc>
          <w:tcPr>
            <w:tcW w:w="0" w:type="auto"/>
            <w:vMerge/>
            <w:tcBorders>
              <w:top w:val="single" w:sz="8" w:space="0" w:color="FFFFFF"/>
              <w:left w:val="single" w:sz="8" w:space="0" w:color="FFFFFF"/>
              <w:bottom w:val="single" w:sz="8" w:space="0" w:color="FFFFFF"/>
              <w:right w:val="single" w:sz="8" w:space="0" w:color="FFFFFF"/>
            </w:tcBorders>
            <w:vAlign w:val="center"/>
          </w:tcPr>
          <w:p w14:paraId="3A55C3B6"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tcPr>
          <w:p w14:paraId="0741FBE8"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nil"/>
              <w:right w:val="single" w:sz="8" w:space="0" w:color="FFFFFF"/>
            </w:tcBorders>
            <w:shd w:val="clear" w:color="000000" w:fill="BED3E4"/>
            <w:vAlign w:val="center"/>
          </w:tcPr>
          <w:p w14:paraId="09699E25"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w:t>
            </w:r>
          </w:p>
        </w:tc>
        <w:tc>
          <w:tcPr>
            <w:tcW w:w="0" w:type="auto"/>
            <w:tcBorders>
              <w:top w:val="nil"/>
              <w:left w:val="nil"/>
              <w:bottom w:val="nil"/>
              <w:right w:val="single" w:sz="8" w:space="0" w:color="FFFFFF"/>
            </w:tcBorders>
            <w:shd w:val="clear" w:color="000000" w:fill="BED3E4"/>
          </w:tcPr>
          <w:p w14:paraId="33E4A106"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A fleet management system (including vehicle tracking) must be implemented.</w:t>
            </w:r>
          </w:p>
        </w:tc>
      </w:tr>
      <w:tr w:rsidR="005A6DBB" w14:paraId="75060B29" w14:textId="77777777">
        <w:trPr>
          <w:trHeight w:val="780"/>
        </w:trPr>
        <w:tc>
          <w:tcPr>
            <w:tcW w:w="0" w:type="auto"/>
            <w:vMerge/>
            <w:tcBorders>
              <w:top w:val="single" w:sz="8" w:space="0" w:color="FFFFFF"/>
              <w:left w:val="single" w:sz="8" w:space="0" w:color="FFFFFF"/>
              <w:bottom w:val="single" w:sz="8" w:space="0" w:color="FFFFFF"/>
              <w:right w:val="single" w:sz="8" w:space="0" w:color="FFFFFF"/>
            </w:tcBorders>
            <w:vAlign w:val="center"/>
          </w:tcPr>
          <w:p w14:paraId="1E230613" w14:textId="77777777" w:rsidR="005A6DBB" w:rsidRDefault="005A6DBB">
            <w:pPr>
              <w:spacing w:before="120" w:after="120"/>
              <w:rPr>
                <w:rFonts w:asciiTheme="minorHAnsi" w:hAnsiTheme="minorHAnsi" w:cstheme="minorHAnsi"/>
                <w:b/>
                <w:bCs/>
                <w:color w:val="000000"/>
                <w:sz w:val="20"/>
                <w:szCs w:val="20"/>
                <w:lang w:val="en-US"/>
              </w:rPr>
            </w:pPr>
          </w:p>
        </w:tc>
        <w:tc>
          <w:tcPr>
            <w:tcW w:w="0" w:type="auto"/>
            <w:vMerge/>
            <w:tcBorders>
              <w:top w:val="single" w:sz="8" w:space="0" w:color="FFFFFF"/>
              <w:left w:val="single" w:sz="8" w:space="0" w:color="FFFFFF"/>
              <w:bottom w:val="single" w:sz="8" w:space="0" w:color="FFFFFF"/>
              <w:right w:val="single" w:sz="8" w:space="0" w:color="FFFFFF"/>
            </w:tcBorders>
            <w:vAlign w:val="center"/>
          </w:tcPr>
          <w:p w14:paraId="40ACC1A5" w14:textId="77777777" w:rsidR="005A6DBB" w:rsidRDefault="005A6DBB">
            <w:pPr>
              <w:spacing w:before="120" w:after="120"/>
              <w:rPr>
                <w:rFonts w:asciiTheme="minorHAnsi" w:hAnsiTheme="minorHAnsi" w:cstheme="minorHAnsi"/>
                <w:color w:val="000000"/>
                <w:sz w:val="20"/>
                <w:szCs w:val="20"/>
                <w:lang w:val="en-US"/>
              </w:rPr>
            </w:pPr>
          </w:p>
        </w:tc>
        <w:tc>
          <w:tcPr>
            <w:tcW w:w="0" w:type="auto"/>
            <w:tcBorders>
              <w:top w:val="nil"/>
              <w:left w:val="nil"/>
              <w:bottom w:val="single" w:sz="8" w:space="0" w:color="FFFFFF"/>
              <w:right w:val="single" w:sz="8" w:space="0" w:color="FFFFFF"/>
            </w:tcBorders>
            <w:shd w:val="clear" w:color="000000" w:fill="BED3E4"/>
            <w:vAlign w:val="center"/>
          </w:tcPr>
          <w:p w14:paraId="3E8DC05E"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w:t>
            </w:r>
          </w:p>
        </w:tc>
        <w:tc>
          <w:tcPr>
            <w:tcW w:w="0" w:type="auto"/>
            <w:tcBorders>
              <w:top w:val="nil"/>
              <w:left w:val="nil"/>
              <w:bottom w:val="single" w:sz="8" w:space="0" w:color="FFFFFF"/>
              <w:right w:val="single" w:sz="8" w:space="0" w:color="FFFFFF"/>
            </w:tcBorders>
            <w:shd w:val="clear" w:color="000000" w:fill="BED3E4"/>
          </w:tcPr>
          <w:p w14:paraId="5F199F6D" w14:textId="77777777" w:rsidR="005A6DBB" w:rsidRDefault="00F93099">
            <w:pPr>
              <w:spacing w:before="120" w:after="120"/>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 security of the existing fleet must be provided for as unnecessary costs are incurred due to theft.</w:t>
            </w:r>
          </w:p>
        </w:tc>
      </w:tr>
      <w:tr w:rsidR="005A6DBB" w14:paraId="1DD9E5D2" w14:textId="77777777">
        <w:trPr>
          <w:trHeight w:val="2295"/>
        </w:trPr>
        <w:tc>
          <w:tcPr>
            <w:tcW w:w="0" w:type="auto"/>
            <w:vMerge w:val="restart"/>
            <w:tcBorders>
              <w:top w:val="nil"/>
              <w:left w:val="single" w:sz="8" w:space="0" w:color="FFFFFF"/>
              <w:bottom w:val="nil"/>
              <w:right w:val="single" w:sz="8" w:space="0" w:color="FFFFFF"/>
            </w:tcBorders>
            <w:shd w:val="clear" w:color="000000" w:fill="D4E1ED"/>
          </w:tcPr>
          <w:p w14:paraId="03E719B0"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rPr>
              <w:t>Roads and Transport</w:t>
            </w:r>
          </w:p>
        </w:tc>
        <w:tc>
          <w:tcPr>
            <w:tcW w:w="0" w:type="auto"/>
            <w:tcBorders>
              <w:top w:val="nil"/>
              <w:left w:val="nil"/>
              <w:bottom w:val="nil"/>
              <w:right w:val="single" w:sz="8" w:space="0" w:color="FFFFFF"/>
            </w:tcBorders>
            <w:shd w:val="clear" w:color="000000" w:fill="D4E1ED"/>
          </w:tcPr>
          <w:p w14:paraId="53D116BB"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6.3km of new roads planned for construction and 25% of surfaced roads resurfaced and resealed.</w:t>
            </w:r>
          </w:p>
        </w:tc>
        <w:tc>
          <w:tcPr>
            <w:tcW w:w="0" w:type="auto"/>
            <w:tcBorders>
              <w:top w:val="nil"/>
              <w:left w:val="nil"/>
              <w:bottom w:val="nil"/>
              <w:right w:val="single" w:sz="8" w:space="0" w:color="FFFFFF"/>
            </w:tcBorders>
            <w:shd w:val="clear" w:color="000000" w:fill="D4E1ED"/>
          </w:tcPr>
          <w:p w14:paraId="1761DAB4"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 xml:space="preserve">It was reported that only 2.64km of new roads were built from the 6.3km planned for implying on 41.9% was achieved.  Furthermore, the 2.64km relate to only 1 of 8 projects identified.  The contributing reasons given are four (4) namely, lack of budget, ineffective project and contract management, lack of skilled staff and high vacancy rate. </w:t>
            </w:r>
          </w:p>
        </w:tc>
        <w:tc>
          <w:tcPr>
            <w:tcW w:w="0" w:type="auto"/>
            <w:tcBorders>
              <w:top w:val="nil"/>
              <w:left w:val="nil"/>
              <w:bottom w:val="nil"/>
              <w:right w:val="single" w:sz="8" w:space="0" w:color="FFFFFF"/>
            </w:tcBorders>
            <w:shd w:val="clear" w:color="000000" w:fill="D4E1ED"/>
          </w:tcPr>
          <w:p w14:paraId="200FEBE8"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Implementing effective project and contractor practices and controls will result in a greater percentage of the grant funding been utilised which will impact available funding in the forthcoming years.</w:t>
            </w:r>
          </w:p>
        </w:tc>
      </w:tr>
      <w:tr w:rsidR="005A6DBB" w14:paraId="0BE4C6CE" w14:textId="77777777">
        <w:trPr>
          <w:trHeight w:val="2040"/>
        </w:trPr>
        <w:tc>
          <w:tcPr>
            <w:tcW w:w="0" w:type="auto"/>
            <w:vMerge/>
            <w:tcBorders>
              <w:top w:val="nil"/>
              <w:left w:val="single" w:sz="8" w:space="0" w:color="FFFFFF"/>
              <w:bottom w:val="nil"/>
              <w:right w:val="single" w:sz="8" w:space="0" w:color="FFFFFF"/>
            </w:tcBorders>
            <w:vAlign w:val="center"/>
          </w:tcPr>
          <w:p w14:paraId="4B526827" w14:textId="77777777" w:rsidR="005A6DBB" w:rsidRDefault="005A6DBB">
            <w:pPr>
              <w:spacing w:before="120" w:after="120"/>
              <w:rPr>
                <w:rFonts w:asciiTheme="minorHAnsi" w:hAnsiTheme="minorHAnsi" w:cstheme="minorHAnsi"/>
                <w:b/>
                <w:bCs/>
                <w:color w:val="000000"/>
                <w:sz w:val="20"/>
                <w:szCs w:val="20"/>
                <w:lang w:val="en-US"/>
              </w:rPr>
            </w:pPr>
          </w:p>
        </w:tc>
        <w:tc>
          <w:tcPr>
            <w:tcW w:w="0" w:type="auto"/>
            <w:tcBorders>
              <w:top w:val="nil"/>
              <w:left w:val="nil"/>
              <w:bottom w:val="nil"/>
              <w:right w:val="single" w:sz="8" w:space="0" w:color="FFFFFF"/>
            </w:tcBorders>
            <w:shd w:val="clear" w:color="000000" w:fill="D4E1ED"/>
          </w:tcPr>
          <w:p w14:paraId="33728938"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100% scheduled access points and service stops that are universally accessible.</w:t>
            </w:r>
          </w:p>
        </w:tc>
        <w:tc>
          <w:tcPr>
            <w:tcW w:w="0" w:type="auto"/>
            <w:tcBorders>
              <w:top w:val="nil"/>
              <w:left w:val="nil"/>
              <w:bottom w:val="nil"/>
              <w:right w:val="single" w:sz="8" w:space="0" w:color="FFFFFF"/>
            </w:tcBorders>
            <w:shd w:val="clear" w:color="000000" w:fill="D4E1ED"/>
          </w:tcPr>
          <w:p w14:paraId="4C06F625"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The Integrated Public Transport Network (IPTN) program has been implemented:  Vehicle, training, access points and service stops implemented.  At the time of the consultative process (22-23 February 2023), the handover process was unfolding and planned to have concluded by financial year end.</w:t>
            </w:r>
          </w:p>
        </w:tc>
        <w:tc>
          <w:tcPr>
            <w:tcW w:w="0" w:type="auto"/>
            <w:tcBorders>
              <w:top w:val="nil"/>
              <w:left w:val="nil"/>
              <w:bottom w:val="nil"/>
              <w:right w:val="single" w:sz="8" w:space="0" w:color="FFFFFF"/>
            </w:tcBorders>
            <w:shd w:val="clear" w:color="000000" w:fill="D4E1ED"/>
          </w:tcPr>
          <w:p w14:paraId="421DCA40" w14:textId="77777777" w:rsidR="005A6DBB" w:rsidRDefault="00F93099">
            <w:pPr>
              <w:keepNext/>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Ensure the handover is concluded and monitor the operation of the IPTN.</w:t>
            </w:r>
          </w:p>
        </w:tc>
      </w:tr>
    </w:tbl>
    <w:p w14:paraId="62AB803C" w14:textId="7B012257" w:rsidR="005A6DBB" w:rsidRDefault="00F93099">
      <w:pPr>
        <w:pStyle w:val="Caption"/>
      </w:pPr>
      <w:bookmarkStart w:id="74" w:name="_Toc132362451"/>
      <w:r>
        <w:t xml:space="preserve">Table </w:t>
      </w:r>
      <w:r>
        <w:fldChar w:fldCharType="begin"/>
      </w:r>
      <w:r>
        <w:instrText xml:space="preserve"> SEQ Table \* ARABIC </w:instrText>
      </w:r>
      <w:r>
        <w:fldChar w:fldCharType="separate"/>
      </w:r>
      <w:r w:rsidR="00A564BE">
        <w:rPr>
          <w:noProof/>
        </w:rPr>
        <w:t>24</w:t>
      </w:r>
      <w:r>
        <w:fldChar w:fldCharType="end"/>
      </w:r>
      <w:r>
        <w:t xml:space="preserve"> - IDP: Service Line Project Progress</w:t>
      </w:r>
    </w:p>
    <w:p w14:paraId="68636EDD"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75" w:name="_Toc137732230"/>
      <w:r>
        <w:rPr>
          <w:rFonts w:cs="Arial"/>
          <w:b/>
        </w:rPr>
        <w:t>ADEQUACY OF REPAIRS AND MAINTENANCE</w:t>
      </w:r>
      <w:bookmarkEnd w:id="74"/>
      <w:bookmarkEnd w:id="75"/>
    </w:p>
    <w:p w14:paraId="49A0F1CC" w14:textId="77777777" w:rsidR="005A6DBB" w:rsidRDefault="00F93099">
      <w:pPr>
        <w:spacing w:before="120" w:after="120"/>
        <w:rPr>
          <w:lang w:val="en-US"/>
        </w:rPr>
      </w:pPr>
      <w:r>
        <w:rPr>
          <w:lang w:val="en-US"/>
        </w:rPr>
        <w:t xml:space="preserve">Repairs and maintenance is a critical spend and should conform with National Treasury benchmarks of 8% of carrying value of PPE.  Should the value of repairs and maintenance be materially lower it implies asset stripping over the long term and that infrastructure condition is being compromised in the interest of maintaining adequate surplus.  </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839"/>
        <w:gridCol w:w="1839"/>
        <w:gridCol w:w="1838"/>
        <w:gridCol w:w="1838"/>
        <w:gridCol w:w="1838"/>
      </w:tblGrid>
      <w:tr w:rsidR="005A6DBB" w14:paraId="639D10F0" w14:textId="77777777">
        <w:trPr>
          <w:trHeight w:val="300"/>
          <w:tblHeader/>
        </w:trPr>
        <w:tc>
          <w:tcPr>
            <w:tcW w:w="1000" w:type="pct"/>
            <w:shd w:val="clear" w:color="auto" w:fill="002060"/>
          </w:tcPr>
          <w:p w14:paraId="3E68ECF6"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Infrastructure Service</w:t>
            </w:r>
          </w:p>
        </w:tc>
        <w:tc>
          <w:tcPr>
            <w:tcW w:w="1000" w:type="pct"/>
            <w:shd w:val="clear" w:color="auto" w:fill="002060"/>
          </w:tcPr>
          <w:p w14:paraId="5A5768A4"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Required R and M</w:t>
            </w:r>
          </w:p>
        </w:tc>
        <w:tc>
          <w:tcPr>
            <w:tcW w:w="1000" w:type="pct"/>
            <w:shd w:val="clear" w:color="auto" w:fill="002060"/>
          </w:tcPr>
          <w:p w14:paraId="66563C29"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Actual R and M</w:t>
            </w:r>
          </w:p>
        </w:tc>
        <w:tc>
          <w:tcPr>
            <w:tcW w:w="1000" w:type="pct"/>
            <w:shd w:val="clear" w:color="auto" w:fill="002060"/>
          </w:tcPr>
          <w:p w14:paraId="154ECFE8"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Actual vs Required</w:t>
            </w:r>
          </w:p>
        </w:tc>
        <w:tc>
          <w:tcPr>
            <w:tcW w:w="1000" w:type="pct"/>
            <w:shd w:val="clear" w:color="auto" w:fill="002060"/>
          </w:tcPr>
          <w:p w14:paraId="0B8AB70C"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Shortfall</w:t>
            </w:r>
          </w:p>
        </w:tc>
      </w:tr>
      <w:tr w:rsidR="005A6DBB" w14:paraId="20129474" w14:textId="77777777">
        <w:trPr>
          <w:trHeight w:val="315"/>
        </w:trPr>
        <w:tc>
          <w:tcPr>
            <w:tcW w:w="1000" w:type="pct"/>
            <w:shd w:val="clear" w:color="auto" w:fill="D4E1ED"/>
            <w:noWrap/>
            <w:vAlign w:val="center"/>
          </w:tcPr>
          <w:p w14:paraId="1B9FAF44" w14:textId="77777777" w:rsidR="005A6DBB" w:rsidRDefault="00F93099">
            <w:pPr>
              <w:spacing w:before="120" w:after="120"/>
              <w:rPr>
                <w:rFonts w:cs="Calibri"/>
                <w:color w:val="000000"/>
                <w:sz w:val="20"/>
                <w:szCs w:val="20"/>
                <w:lang w:val="en-US"/>
              </w:rPr>
            </w:pPr>
            <w:r>
              <w:rPr>
                <w:rFonts w:cs="Calibri"/>
                <w:color w:val="000000"/>
                <w:sz w:val="20"/>
                <w:szCs w:val="20"/>
                <w:lang w:val="en-US"/>
              </w:rPr>
              <w:t>Roads and Storm Water</w:t>
            </w:r>
          </w:p>
        </w:tc>
        <w:tc>
          <w:tcPr>
            <w:tcW w:w="1000" w:type="pct"/>
            <w:shd w:val="clear" w:color="auto" w:fill="D4E1ED"/>
            <w:noWrap/>
            <w:vAlign w:val="center"/>
          </w:tcPr>
          <w:p w14:paraId="581382A4"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R221 474 371</w:t>
            </w:r>
          </w:p>
        </w:tc>
        <w:tc>
          <w:tcPr>
            <w:tcW w:w="1000" w:type="pct"/>
            <w:shd w:val="clear" w:color="auto" w:fill="D4E1ED"/>
            <w:noWrap/>
            <w:vAlign w:val="center"/>
          </w:tcPr>
          <w:p w14:paraId="7F87BD98"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R94 393 727</w:t>
            </w:r>
          </w:p>
        </w:tc>
        <w:tc>
          <w:tcPr>
            <w:tcW w:w="1000" w:type="pct"/>
            <w:shd w:val="clear" w:color="auto" w:fill="D4E1ED"/>
            <w:noWrap/>
            <w:vAlign w:val="center"/>
          </w:tcPr>
          <w:p w14:paraId="15815F44"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43%</w:t>
            </w:r>
          </w:p>
        </w:tc>
        <w:tc>
          <w:tcPr>
            <w:tcW w:w="1000" w:type="pct"/>
            <w:shd w:val="clear" w:color="auto" w:fill="D4E1ED"/>
            <w:vAlign w:val="center"/>
          </w:tcPr>
          <w:p w14:paraId="1F306EAD" w14:textId="77777777" w:rsidR="005A6DBB" w:rsidRDefault="00F93099">
            <w:pPr>
              <w:spacing w:before="120" w:after="120"/>
              <w:jc w:val="right"/>
              <w:rPr>
                <w:rFonts w:cs="Calibri"/>
                <w:color w:val="000000"/>
                <w:sz w:val="20"/>
                <w:szCs w:val="20"/>
                <w:lang w:val="en-US"/>
              </w:rPr>
            </w:pPr>
            <w:r>
              <w:rPr>
                <w:rFonts w:cs="Calibri"/>
                <w:color w:val="FF0000"/>
                <w:sz w:val="20"/>
                <w:szCs w:val="20"/>
              </w:rPr>
              <w:t>-R127 080 644</w:t>
            </w:r>
          </w:p>
        </w:tc>
      </w:tr>
      <w:tr w:rsidR="005A6DBB" w14:paraId="1FE5223C" w14:textId="77777777">
        <w:trPr>
          <w:trHeight w:val="315"/>
        </w:trPr>
        <w:tc>
          <w:tcPr>
            <w:tcW w:w="1000" w:type="pct"/>
            <w:shd w:val="clear" w:color="auto" w:fill="BED3E4"/>
            <w:noWrap/>
            <w:vAlign w:val="center"/>
          </w:tcPr>
          <w:p w14:paraId="03D5E310" w14:textId="77777777" w:rsidR="005A6DBB" w:rsidRDefault="00F93099">
            <w:pPr>
              <w:spacing w:before="120" w:after="120"/>
              <w:rPr>
                <w:rFonts w:cs="Calibri"/>
                <w:color w:val="000000"/>
                <w:sz w:val="20"/>
                <w:szCs w:val="20"/>
                <w:lang w:val="en-US"/>
              </w:rPr>
            </w:pPr>
            <w:r>
              <w:rPr>
                <w:rFonts w:cs="Calibri"/>
                <w:color w:val="000000"/>
                <w:sz w:val="20"/>
                <w:szCs w:val="20"/>
                <w:lang w:val="en-US"/>
              </w:rPr>
              <w:t>Electricity</w:t>
            </w:r>
          </w:p>
        </w:tc>
        <w:tc>
          <w:tcPr>
            <w:tcW w:w="1000" w:type="pct"/>
            <w:shd w:val="clear" w:color="auto" w:fill="BED3E4"/>
            <w:noWrap/>
            <w:vAlign w:val="center"/>
          </w:tcPr>
          <w:p w14:paraId="3F7483C7"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R470 955 780</w:t>
            </w:r>
          </w:p>
        </w:tc>
        <w:tc>
          <w:tcPr>
            <w:tcW w:w="1000" w:type="pct"/>
            <w:shd w:val="clear" w:color="auto" w:fill="BED3E4"/>
            <w:noWrap/>
            <w:vAlign w:val="center"/>
          </w:tcPr>
          <w:p w14:paraId="73F02E26"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R107 148 711</w:t>
            </w:r>
          </w:p>
        </w:tc>
        <w:tc>
          <w:tcPr>
            <w:tcW w:w="1000" w:type="pct"/>
            <w:shd w:val="clear" w:color="auto" w:fill="BED3E4"/>
            <w:noWrap/>
            <w:vAlign w:val="center"/>
          </w:tcPr>
          <w:p w14:paraId="6027653C"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23%</w:t>
            </w:r>
          </w:p>
        </w:tc>
        <w:tc>
          <w:tcPr>
            <w:tcW w:w="1000" w:type="pct"/>
            <w:shd w:val="clear" w:color="auto" w:fill="BED3E4"/>
            <w:vAlign w:val="center"/>
          </w:tcPr>
          <w:p w14:paraId="62638B55" w14:textId="77777777" w:rsidR="005A6DBB" w:rsidRDefault="00F93099">
            <w:pPr>
              <w:spacing w:before="120" w:after="120"/>
              <w:jc w:val="right"/>
              <w:rPr>
                <w:rFonts w:cs="Calibri"/>
                <w:color w:val="000000"/>
                <w:sz w:val="20"/>
                <w:szCs w:val="20"/>
                <w:lang w:val="en-US"/>
              </w:rPr>
            </w:pPr>
            <w:r>
              <w:rPr>
                <w:rFonts w:cs="Calibri"/>
                <w:color w:val="FF0000"/>
                <w:sz w:val="20"/>
                <w:szCs w:val="20"/>
              </w:rPr>
              <w:t>-R363 807 069</w:t>
            </w:r>
          </w:p>
        </w:tc>
      </w:tr>
      <w:tr w:rsidR="005A6DBB" w14:paraId="1DF90116" w14:textId="77777777">
        <w:trPr>
          <w:trHeight w:val="315"/>
        </w:trPr>
        <w:tc>
          <w:tcPr>
            <w:tcW w:w="1000" w:type="pct"/>
            <w:shd w:val="clear" w:color="auto" w:fill="D4E1ED"/>
            <w:noWrap/>
            <w:vAlign w:val="center"/>
          </w:tcPr>
          <w:p w14:paraId="345F0FEB" w14:textId="77777777" w:rsidR="005A6DBB" w:rsidRDefault="00F93099">
            <w:pPr>
              <w:spacing w:before="120" w:after="120"/>
              <w:rPr>
                <w:rFonts w:cs="Calibri"/>
                <w:color w:val="000000"/>
                <w:sz w:val="20"/>
                <w:szCs w:val="20"/>
                <w:lang w:val="en-US"/>
              </w:rPr>
            </w:pPr>
            <w:r>
              <w:rPr>
                <w:rFonts w:cs="Calibri"/>
                <w:color w:val="000000"/>
                <w:sz w:val="20"/>
                <w:szCs w:val="20"/>
                <w:lang w:val="en-US"/>
              </w:rPr>
              <w:t>Built Environment</w:t>
            </w:r>
          </w:p>
        </w:tc>
        <w:tc>
          <w:tcPr>
            <w:tcW w:w="1000" w:type="pct"/>
            <w:shd w:val="clear" w:color="auto" w:fill="D4E1ED"/>
            <w:noWrap/>
            <w:vAlign w:val="center"/>
          </w:tcPr>
          <w:p w14:paraId="3DF28615"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R167 856 597</w:t>
            </w:r>
          </w:p>
        </w:tc>
        <w:tc>
          <w:tcPr>
            <w:tcW w:w="1000" w:type="pct"/>
            <w:shd w:val="clear" w:color="auto" w:fill="D4E1ED"/>
            <w:noWrap/>
            <w:vAlign w:val="center"/>
          </w:tcPr>
          <w:p w14:paraId="1C0EBA0F"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R42 459 580</w:t>
            </w:r>
          </w:p>
        </w:tc>
        <w:tc>
          <w:tcPr>
            <w:tcW w:w="1000" w:type="pct"/>
            <w:shd w:val="clear" w:color="auto" w:fill="D4E1ED"/>
            <w:noWrap/>
            <w:vAlign w:val="center"/>
          </w:tcPr>
          <w:p w14:paraId="7C049089"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25%</w:t>
            </w:r>
          </w:p>
        </w:tc>
        <w:tc>
          <w:tcPr>
            <w:tcW w:w="1000" w:type="pct"/>
            <w:shd w:val="clear" w:color="auto" w:fill="D4E1ED"/>
            <w:vAlign w:val="center"/>
          </w:tcPr>
          <w:p w14:paraId="5629D5B9" w14:textId="77777777" w:rsidR="005A6DBB" w:rsidRDefault="00F93099">
            <w:pPr>
              <w:spacing w:before="120" w:after="120"/>
              <w:jc w:val="right"/>
              <w:rPr>
                <w:rFonts w:cs="Calibri"/>
                <w:color w:val="000000"/>
                <w:sz w:val="20"/>
                <w:szCs w:val="20"/>
                <w:lang w:val="en-US"/>
              </w:rPr>
            </w:pPr>
            <w:r>
              <w:rPr>
                <w:rFonts w:cs="Calibri"/>
                <w:color w:val="FF0000"/>
                <w:sz w:val="20"/>
                <w:szCs w:val="20"/>
              </w:rPr>
              <w:t>-R125 397 017</w:t>
            </w:r>
          </w:p>
        </w:tc>
      </w:tr>
      <w:tr w:rsidR="005A6DBB" w14:paraId="5355F289" w14:textId="77777777">
        <w:trPr>
          <w:trHeight w:val="315"/>
        </w:trPr>
        <w:tc>
          <w:tcPr>
            <w:tcW w:w="1000" w:type="pct"/>
            <w:shd w:val="clear" w:color="auto" w:fill="BED3E4"/>
            <w:noWrap/>
            <w:vAlign w:val="center"/>
          </w:tcPr>
          <w:p w14:paraId="74AB6B87" w14:textId="77777777" w:rsidR="005A6DBB" w:rsidRDefault="00F93099">
            <w:pPr>
              <w:spacing w:before="120" w:after="120"/>
              <w:rPr>
                <w:rFonts w:cs="Calibri"/>
                <w:color w:val="000000"/>
                <w:sz w:val="20"/>
                <w:szCs w:val="20"/>
                <w:lang w:val="en-US"/>
              </w:rPr>
            </w:pPr>
            <w:r>
              <w:rPr>
                <w:rFonts w:cs="Calibri"/>
                <w:color w:val="000000"/>
                <w:sz w:val="20"/>
                <w:szCs w:val="20"/>
                <w:lang w:val="en-US"/>
              </w:rPr>
              <w:t>Sanitation</w:t>
            </w:r>
          </w:p>
        </w:tc>
        <w:tc>
          <w:tcPr>
            <w:tcW w:w="1000" w:type="pct"/>
            <w:shd w:val="clear" w:color="auto" w:fill="BED3E4"/>
            <w:noWrap/>
            <w:vAlign w:val="center"/>
          </w:tcPr>
          <w:p w14:paraId="6F48FF45"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R194 183 938</w:t>
            </w:r>
          </w:p>
        </w:tc>
        <w:tc>
          <w:tcPr>
            <w:tcW w:w="1000" w:type="pct"/>
            <w:shd w:val="clear" w:color="auto" w:fill="BED3E4"/>
            <w:noWrap/>
            <w:vAlign w:val="center"/>
          </w:tcPr>
          <w:p w14:paraId="5E75E330"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R53 088 117</w:t>
            </w:r>
          </w:p>
        </w:tc>
        <w:tc>
          <w:tcPr>
            <w:tcW w:w="1000" w:type="pct"/>
            <w:shd w:val="clear" w:color="auto" w:fill="BED3E4"/>
            <w:noWrap/>
            <w:vAlign w:val="center"/>
          </w:tcPr>
          <w:p w14:paraId="6B99A2A5"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27%</w:t>
            </w:r>
          </w:p>
        </w:tc>
        <w:tc>
          <w:tcPr>
            <w:tcW w:w="1000" w:type="pct"/>
            <w:shd w:val="clear" w:color="auto" w:fill="BED3E4"/>
            <w:vAlign w:val="center"/>
          </w:tcPr>
          <w:p w14:paraId="0001779A" w14:textId="77777777" w:rsidR="005A6DBB" w:rsidRDefault="00F93099">
            <w:pPr>
              <w:spacing w:before="120" w:after="120"/>
              <w:jc w:val="right"/>
              <w:rPr>
                <w:rFonts w:cs="Calibri"/>
                <w:color w:val="000000"/>
                <w:sz w:val="20"/>
                <w:szCs w:val="20"/>
                <w:lang w:val="en-US"/>
              </w:rPr>
            </w:pPr>
            <w:r>
              <w:rPr>
                <w:rFonts w:cs="Calibri"/>
                <w:color w:val="FF0000"/>
                <w:sz w:val="20"/>
                <w:szCs w:val="20"/>
              </w:rPr>
              <w:t>-R141 095 821</w:t>
            </w:r>
          </w:p>
        </w:tc>
      </w:tr>
      <w:tr w:rsidR="005A6DBB" w14:paraId="6059874F" w14:textId="77777777">
        <w:trPr>
          <w:trHeight w:val="315"/>
        </w:trPr>
        <w:tc>
          <w:tcPr>
            <w:tcW w:w="1000" w:type="pct"/>
            <w:shd w:val="clear" w:color="auto" w:fill="D4E1ED"/>
            <w:noWrap/>
            <w:vAlign w:val="center"/>
          </w:tcPr>
          <w:p w14:paraId="23465654" w14:textId="77777777" w:rsidR="005A6DBB" w:rsidRDefault="00F93099">
            <w:pPr>
              <w:spacing w:before="120" w:after="120"/>
              <w:rPr>
                <w:rFonts w:cs="Calibri"/>
                <w:color w:val="000000"/>
                <w:sz w:val="20"/>
                <w:szCs w:val="20"/>
                <w:lang w:val="en-US"/>
              </w:rPr>
            </w:pPr>
            <w:r>
              <w:rPr>
                <w:rFonts w:cs="Calibri"/>
                <w:color w:val="000000"/>
                <w:sz w:val="20"/>
                <w:szCs w:val="20"/>
                <w:lang w:val="en-US"/>
              </w:rPr>
              <w:t>Water</w:t>
            </w:r>
          </w:p>
        </w:tc>
        <w:tc>
          <w:tcPr>
            <w:tcW w:w="1000" w:type="pct"/>
            <w:shd w:val="clear" w:color="auto" w:fill="D4E1ED"/>
            <w:noWrap/>
            <w:vAlign w:val="center"/>
          </w:tcPr>
          <w:p w14:paraId="5C6A8CB6"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R123 582 171</w:t>
            </w:r>
          </w:p>
        </w:tc>
        <w:tc>
          <w:tcPr>
            <w:tcW w:w="1000" w:type="pct"/>
            <w:shd w:val="clear" w:color="auto" w:fill="D4E1ED"/>
            <w:noWrap/>
            <w:vAlign w:val="center"/>
          </w:tcPr>
          <w:p w14:paraId="7EA504CB"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R39 409 798</w:t>
            </w:r>
          </w:p>
        </w:tc>
        <w:tc>
          <w:tcPr>
            <w:tcW w:w="1000" w:type="pct"/>
            <w:shd w:val="clear" w:color="auto" w:fill="D4E1ED"/>
            <w:noWrap/>
            <w:vAlign w:val="center"/>
          </w:tcPr>
          <w:p w14:paraId="1BB5E86B"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32%</w:t>
            </w:r>
          </w:p>
        </w:tc>
        <w:tc>
          <w:tcPr>
            <w:tcW w:w="1000" w:type="pct"/>
            <w:shd w:val="clear" w:color="auto" w:fill="D4E1ED"/>
            <w:vAlign w:val="center"/>
          </w:tcPr>
          <w:p w14:paraId="2CA21056" w14:textId="77777777" w:rsidR="005A6DBB" w:rsidRDefault="00F93099">
            <w:pPr>
              <w:spacing w:before="120" w:after="120"/>
              <w:jc w:val="right"/>
              <w:rPr>
                <w:rFonts w:cs="Calibri"/>
                <w:color w:val="000000"/>
                <w:sz w:val="20"/>
                <w:szCs w:val="20"/>
                <w:lang w:val="en-US"/>
              </w:rPr>
            </w:pPr>
            <w:r>
              <w:rPr>
                <w:rFonts w:cs="Calibri"/>
                <w:color w:val="FF0000"/>
                <w:sz w:val="20"/>
                <w:szCs w:val="20"/>
              </w:rPr>
              <w:t>-R84 172 373</w:t>
            </w:r>
          </w:p>
        </w:tc>
      </w:tr>
      <w:tr w:rsidR="005A6DBB" w14:paraId="59E3D338" w14:textId="77777777">
        <w:trPr>
          <w:trHeight w:val="315"/>
        </w:trPr>
        <w:tc>
          <w:tcPr>
            <w:tcW w:w="1000" w:type="pct"/>
            <w:shd w:val="clear" w:color="auto" w:fill="BED3E4"/>
            <w:noWrap/>
            <w:vAlign w:val="center"/>
          </w:tcPr>
          <w:p w14:paraId="65A8DA42" w14:textId="77777777" w:rsidR="005A6DBB" w:rsidRDefault="00F93099">
            <w:pPr>
              <w:spacing w:before="120" w:after="120"/>
              <w:rPr>
                <w:rFonts w:cs="Calibri"/>
                <w:color w:val="000000"/>
                <w:sz w:val="20"/>
                <w:szCs w:val="20"/>
                <w:lang w:val="en-US"/>
              </w:rPr>
            </w:pPr>
            <w:r>
              <w:rPr>
                <w:rFonts w:cs="Calibri"/>
                <w:color w:val="000000"/>
                <w:sz w:val="20"/>
                <w:szCs w:val="20"/>
                <w:lang w:val="en-US"/>
              </w:rPr>
              <w:t>Solid Waste</w:t>
            </w:r>
          </w:p>
        </w:tc>
        <w:tc>
          <w:tcPr>
            <w:tcW w:w="1000" w:type="pct"/>
            <w:shd w:val="clear" w:color="auto" w:fill="BED3E4"/>
            <w:noWrap/>
            <w:vAlign w:val="center"/>
          </w:tcPr>
          <w:p w14:paraId="19C9F9C9"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R11 269 891</w:t>
            </w:r>
          </w:p>
        </w:tc>
        <w:tc>
          <w:tcPr>
            <w:tcW w:w="1000" w:type="pct"/>
            <w:shd w:val="clear" w:color="auto" w:fill="BED3E4"/>
            <w:noWrap/>
            <w:vAlign w:val="center"/>
          </w:tcPr>
          <w:p w14:paraId="74804565"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R11 222 860</w:t>
            </w:r>
          </w:p>
        </w:tc>
        <w:tc>
          <w:tcPr>
            <w:tcW w:w="1000" w:type="pct"/>
            <w:shd w:val="clear" w:color="auto" w:fill="BED3E4"/>
            <w:noWrap/>
            <w:vAlign w:val="center"/>
          </w:tcPr>
          <w:p w14:paraId="77F3286D" w14:textId="77777777" w:rsidR="005A6DBB" w:rsidRDefault="00F93099">
            <w:pPr>
              <w:spacing w:before="120" w:after="120"/>
              <w:jc w:val="right"/>
              <w:rPr>
                <w:rFonts w:cs="Calibri"/>
                <w:color w:val="000000"/>
                <w:sz w:val="20"/>
                <w:szCs w:val="20"/>
                <w:lang w:val="en-US"/>
              </w:rPr>
            </w:pPr>
            <w:r>
              <w:rPr>
                <w:rFonts w:cs="Calibri"/>
                <w:color w:val="000000"/>
                <w:sz w:val="20"/>
                <w:szCs w:val="20"/>
                <w:lang w:val="en-US"/>
              </w:rPr>
              <w:t>100%</w:t>
            </w:r>
          </w:p>
        </w:tc>
        <w:tc>
          <w:tcPr>
            <w:tcW w:w="1000" w:type="pct"/>
            <w:shd w:val="clear" w:color="auto" w:fill="BED3E4"/>
            <w:vAlign w:val="center"/>
          </w:tcPr>
          <w:p w14:paraId="4662DDCD" w14:textId="77777777" w:rsidR="005A6DBB" w:rsidRDefault="00F93099">
            <w:pPr>
              <w:spacing w:before="120" w:after="120"/>
              <w:jc w:val="right"/>
              <w:rPr>
                <w:rFonts w:cs="Calibri"/>
                <w:color w:val="000000"/>
                <w:sz w:val="20"/>
                <w:szCs w:val="20"/>
                <w:lang w:val="en-US"/>
              </w:rPr>
            </w:pPr>
            <w:r>
              <w:rPr>
                <w:rFonts w:cs="Calibri"/>
                <w:color w:val="FF0000"/>
                <w:sz w:val="20"/>
                <w:szCs w:val="20"/>
              </w:rPr>
              <w:t>-R47 031</w:t>
            </w:r>
          </w:p>
        </w:tc>
      </w:tr>
      <w:tr w:rsidR="005A6DBB" w14:paraId="59136286" w14:textId="77777777">
        <w:trPr>
          <w:trHeight w:val="315"/>
        </w:trPr>
        <w:tc>
          <w:tcPr>
            <w:tcW w:w="1000" w:type="pct"/>
            <w:shd w:val="clear" w:color="auto" w:fill="D4E1ED"/>
            <w:noWrap/>
            <w:vAlign w:val="center"/>
          </w:tcPr>
          <w:p w14:paraId="142AEBB4" w14:textId="77777777" w:rsidR="005A6DBB" w:rsidRDefault="00F93099">
            <w:pPr>
              <w:spacing w:before="120" w:after="120"/>
              <w:rPr>
                <w:rFonts w:cs="Calibri"/>
                <w:color w:val="000000"/>
                <w:sz w:val="20"/>
                <w:szCs w:val="20"/>
                <w:lang w:val="en-US"/>
              </w:rPr>
            </w:pPr>
            <w:r>
              <w:rPr>
                <w:rFonts w:cs="Calibri"/>
                <w:color w:val="000000"/>
                <w:sz w:val="20"/>
                <w:szCs w:val="20"/>
                <w:lang w:val="en-US"/>
              </w:rPr>
              <w:t> </w:t>
            </w:r>
          </w:p>
        </w:tc>
        <w:tc>
          <w:tcPr>
            <w:tcW w:w="1000" w:type="pct"/>
            <w:shd w:val="clear" w:color="auto" w:fill="D4E1ED"/>
            <w:noWrap/>
            <w:vAlign w:val="center"/>
          </w:tcPr>
          <w:p w14:paraId="4DA1227F" w14:textId="77777777" w:rsidR="005A6DBB" w:rsidRDefault="00F93099">
            <w:pPr>
              <w:spacing w:before="120" w:after="120"/>
              <w:jc w:val="right"/>
              <w:rPr>
                <w:rFonts w:cs="Calibri"/>
                <w:b/>
                <w:bCs/>
                <w:color w:val="000000"/>
                <w:sz w:val="20"/>
                <w:szCs w:val="20"/>
                <w:lang w:val="en-US"/>
              </w:rPr>
            </w:pPr>
            <w:r>
              <w:rPr>
                <w:rFonts w:cs="Calibri"/>
                <w:b/>
                <w:bCs/>
                <w:color w:val="000000"/>
                <w:sz w:val="20"/>
                <w:szCs w:val="20"/>
                <w:lang w:val="en-US"/>
              </w:rPr>
              <w:t>R1 189 322 747</w:t>
            </w:r>
          </w:p>
        </w:tc>
        <w:tc>
          <w:tcPr>
            <w:tcW w:w="1000" w:type="pct"/>
            <w:shd w:val="clear" w:color="auto" w:fill="D4E1ED"/>
            <w:noWrap/>
            <w:vAlign w:val="center"/>
          </w:tcPr>
          <w:p w14:paraId="39B52E44" w14:textId="77777777" w:rsidR="005A6DBB" w:rsidRDefault="00F93099">
            <w:pPr>
              <w:spacing w:before="120" w:after="120"/>
              <w:jc w:val="right"/>
              <w:rPr>
                <w:rFonts w:cs="Calibri"/>
                <w:b/>
                <w:bCs/>
                <w:color w:val="000000"/>
                <w:sz w:val="20"/>
                <w:szCs w:val="20"/>
                <w:lang w:val="en-US"/>
              </w:rPr>
            </w:pPr>
            <w:r>
              <w:rPr>
                <w:rFonts w:cs="Calibri"/>
                <w:b/>
                <w:bCs/>
                <w:color w:val="000000"/>
                <w:sz w:val="20"/>
                <w:szCs w:val="20"/>
                <w:lang w:val="en-US"/>
              </w:rPr>
              <w:t>R347 722 793</w:t>
            </w:r>
          </w:p>
        </w:tc>
        <w:tc>
          <w:tcPr>
            <w:tcW w:w="1000" w:type="pct"/>
            <w:shd w:val="clear" w:color="auto" w:fill="D4E1ED"/>
            <w:noWrap/>
            <w:vAlign w:val="center"/>
          </w:tcPr>
          <w:p w14:paraId="76BCAF28" w14:textId="77777777" w:rsidR="005A6DBB" w:rsidRDefault="00F93099">
            <w:pPr>
              <w:spacing w:before="120" w:after="120"/>
              <w:jc w:val="right"/>
              <w:rPr>
                <w:rFonts w:cs="Calibri"/>
                <w:b/>
                <w:bCs/>
                <w:color w:val="000000"/>
                <w:sz w:val="20"/>
                <w:szCs w:val="20"/>
                <w:lang w:val="en-US"/>
              </w:rPr>
            </w:pPr>
            <w:r>
              <w:rPr>
                <w:rFonts w:cs="Calibri"/>
                <w:b/>
                <w:bCs/>
                <w:color w:val="000000"/>
                <w:sz w:val="20"/>
                <w:szCs w:val="20"/>
                <w:lang w:val="en-US"/>
              </w:rPr>
              <w:t>29%</w:t>
            </w:r>
          </w:p>
        </w:tc>
        <w:tc>
          <w:tcPr>
            <w:tcW w:w="1000" w:type="pct"/>
            <w:shd w:val="clear" w:color="auto" w:fill="D4E1ED"/>
            <w:vAlign w:val="center"/>
          </w:tcPr>
          <w:p w14:paraId="3F98842C" w14:textId="77777777" w:rsidR="005A6DBB" w:rsidRDefault="00F93099">
            <w:pPr>
              <w:keepNext/>
              <w:spacing w:before="120" w:after="120"/>
              <w:jc w:val="right"/>
              <w:rPr>
                <w:rFonts w:cs="Calibri"/>
                <w:b/>
                <w:bCs/>
                <w:color w:val="000000"/>
                <w:sz w:val="20"/>
                <w:szCs w:val="20"/>
                <w:lang w:val="en-US"/>
              </w:rPr>
            </w:pPr>
            <w:r>
              <w:rPr>
                <w:rFonts w:cs="Calibri"/>
                <w:b/>
                <w:bCs/>
                <w:color w:val="FF0000"/>
                <w:sz w:val="20"/>
                <w:szCs w:val="20"/>
              </w:rPr>
              <w:t>-R841 599 954</w:t>
            </w:r>
          </w:p>
        </w:tc>
      </w:tr>
    </w:tbl>
    <w:p w14:paraId="57B7A703" w14:textId="4BE401E9" w:rsidR="005A6DBB" w:rsidRDefault="00F93099">
      <w:pPr>
        <w:pStyle w:val="Caption"/>
      </w:pPr>
      <w:r>
        <w:t xml:space="preserve">Table </w:t>
      </w:r>
      <w:r>
        <w:fldChar w:fldCharType="begin"/>
      </w:r>
      <w:r>
        <w:instrText xml:space="preserve"> SEQ Table \* ARABIC </w:instrText>
      </w:r>
      <w:r>
        <w:fldChar w:fldCharType="separate"/>
      </w:r>
      <w:r w:rsidR="00A564BE">
        <w:rPr>
          <w:noProof/>
        </w:rPr>
        <w:t>25</w:t>
      </w:r>
      <w:r>
        <w:fldChar w:fldCharType="end"/>
      </w:r>
      <w:r>
        <w:t xml:space="preserve"> - Adequacy of Repairs and Maintenance on Service Levels</w:t>
      </w:r>
    </w:p>
    <w:p w14:paraId="3B8F135A" w14:textId="77777777" w:rsidR="005A6DBB" w:rsidRDefault="00F93099">
      <w:pPr>
        <w:spacing w:before="120" w:after="120"/>
        <w:rPr>
          <w:lang w:val="en-US"/>
        </w:rPr>
      </w:pPr>
      <w:r>
        <w:rPr>
          <w:lang w:val="en-US"/>
        </w:rPr>
        <w:t>Current spent versus suggested spend shows a shortfall of R842 million as per the 2021/22 financial figures.</w:t>
      </w:r>
    </w:p>
    <w:p w14:paraId="7AE647CC" w14:textId="77777777" w:rsidR="005A6DBB" w:rsidRDefault="00F93099">
      <w:pPr>
        <w:spacing w:before="120" w:after="120"/>
        <w:rPr>
          <w:lang w:val="en-US"/>
        </w:rPr>
      </w:pPr>
      <w:r>
        <w:rPr>
          <w:lang w:val="en-US"/>
        </w:rPr>
        <w:t>Based on the current financial position of the Municipality, the above funding may not be achievable, however this needs to be considered in relation to forgone revenue brought about from the inability to deliver services.  Under-maintenance will eventually compromise the infrastructure leading to declining performance and service delivery and financial sustainability.</w:t>
      </w:r>
    </w:p>
    <w:p w14:paraId="6F5D50B9"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76" w:name="_Toc132362452"/>
      <w:bookmarkStart w:id="77" w:name="_Toc137732231"/>
      <w:r>
        <w:rPr>
          <w:rFonts w:cs="Arial"/>
          <w:b/>
        </w:rPr>
        <w:t>ELECTRICITY AND WATER REVENUE LOSSES</w:t>
      </w:r>
      <w:bookmarkEnd w:id="76"/>
      <w:bookmarkEnd w:id="77"/>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46"/>
        <w:gridCol w:w="1492"/>
        <w:gridCol w:w="1445"/>
        <w:gridCol w:w="1796"/>
        <w:gridCol w:w="1557"/>
        <w:gridCol w:w="656"/>
      </w:tblGrid>
      <w:tr w:rsidR="005A6DBB" w14:paraId="45960CF3" w14:textId="77777777">
        <w:trPr>
          <w:trHeight w:val="315"/>
          <w:tblHeader/>
        </w:trPr>
        <w:tc>
          <w:tcPr>
            <w:tcW w:w="1221" w:type="pct"/>
            <w:shd w:val="clear" w:color="auto" w:fill="002060"/>
            <w:noWrap/>
            <w:vAlign w:val="center"/>
          </w:tcPr>
          <w:p w14:paraId="69EEAD89" w14:textId="77777777" w:rsidR="005A6DBB" w:rsidRDefault="00F93099">
            <w:pPr>
              <w:spacing w:before="120" w:after="120"/>
              <w:jc w:val="center"/>
              <w:rPr>
                <w:rFonts w:cs="Calibri"/>
                <w:b/>
                <w:bCs/>
                <w:color w:val="FFFFFF"/>
                <w:sz w:val="16"/>
                <w:szCs w:val="16"/>
                <w:lang w:val="en-US"/>
              </w:rPr>
            </w:pPr>
            <w:r>
              <w:rPr>
                <w:rFonts w:cs="Calibri"/>
                <w:b/>
                <w:bCs/>
                <w:color w:val="FFFFFF" w:themeColor="background1"/>
                <w:sz w:val="16"/>
                <w:szCs w:val="16"/>
              </w:rPr>
              <w:t>Revenue Losses</w:t>
            </w:r>
          </w:p>
        </w:tc>
        <w:tc>
          <w:tcPr>
            <w:tcW w:w="811" w:type="pct"/>
            <w:shd w:val="clear" w:color="auto" w:fill="002060"/>
            <w:noWrap/>
            <w:vAlign w:val="center"/>
          </w:tcPr>
          <w:p w14:paraId="04844301" w14:textId="77777777" w:rsidR="005A6DBB" w:rsidRDefault="00F93099">
            <w:pPr>
              <w:spacing w:before="120" w:after="120"/>
              <w:jc w:val="center"/>
              <w:rPr>
                <w:rFonts w:cs="Calibri"/>
                <w:b/>
                <w:bCs/>
                <w:color w:val="FFFFFF"/>
                <w:sz w:val="16"/>
                <w:szCs w:val="16"/>
                <w:lang w:val="en-US"/>
              </w:rPr>
            </w:pPr>
            <w:r>
              <w:rPr>
                <w:rFonts w:cs="Calibri"/>
                <w:b/>
                <w:bCs/>
                <w:color w:val="FFFFFF"/>
                <w:sz w:val="16"/>
                <w:szCs w:val="16"/>
              </w:rPr>
              <w:t>2020/21 (Rands)</w:t>
            </w:r>
          </w:p>
        </w:tc>
        <w:tc>
          <w:tcPr>
            <w:tcW w:w="786" w:type="pct"/>
            <w:shd w:val="clear" w:color="auto" w:fill="002060"/>
            <w:noWrap/>
            <w:vAlign w:val="center"/>
          </w:tcPr>
          <w:p w14:paraId="610B35DC" w14:textId="77777777" w:rsidR="005A6DBB" w:rsidRDefault="00F93099">
            <w:pPr>
              <w:spacing w:before="120" w:after="120"/>
              <w:jc w:val="center"/>
              <w:rPr>
                <w:rFonts w:cs="Calibri"/>
                <w:b/>
                <w:bCs/>
                <w:color w:val="FFFFFF"/>
                <w:sz w:val="16"/>
                <w:szCs w:val="16"/>
                <w:lang w:val="en-US"/>
              </w:rPr>
            </w:pPr>
            <w:r>
              <w:rPr>
                <w:rFonts w:cs="Calibri"/>
                <w:b/>
                <w:bCs/>
                <w:color w:val="FFFFFF"/>
                <w:sz w:val="16"/>
                <w:szCs w:val="16"/>
                <w:lang w:val="en-US"/>
              </w:rPr>
              <w:t>Technical losses</w:t>
            </w:r>
          </w:p>
        </w:tc>
        <w:tc>
          <w:tcPr>
            <w:tcW w:w="977" w:type="pct"/>
            <w:shd w:val="clear" w:color="auto" w:fill="002060"/>
            <w:noWrap/>
            <w:vAlign w:val="center"/>
          </w:tcPr>
          <w:p w14:paraId="061E111E" w14:textId="77777777" w:rsidR="005A6DBB" w:rsidRDefault="00F93099">
            <w:pPr>
              <w:spacing w:before="120" w:after="120"/>
              <w:jc w:val="center"/>
              <w:rPr>
                <w:rFonts w:cs="Calibri"/>
                <w:b/>
                <w:bCs/>
                <w:color w:val="FFFFFF"/>
                <w:sz w:val="16"/>
                <w:szCs w:val="16"/>
                <w:lang w:val="en-US"/>
              </w:rPr>
            </w:pPr>
            <w:r>
              <w:rPr>
                <w:rFonts w:cs="Calibri"/>
                <w:b/>
                <w:bCs/>
                <w:color w:val="FFFFFF"/>
                <w:sz w:val="16"/>
                <w:szCs w:val="16"/>
                <w:lang w:val="en-US"/>
              </w:rPr>
              <w:t>Non-technical losses</w:t>
            </w:r>
          </w:p>
        </w:tc>
        <w:tc>
          <w:tcPr>
            <w:tcW w:w="847" w:type="pct"/>
            <w:shd w:val="clear" w:color="auto" w:fill="002060"/>
            <w:vAlign w:val="center"/>
          </w:tcPr>
          <w:p w14:paraId="4A83575B" w14:textId="77777777" w:rsidR="005A6DBB" w:rsidRDefault="00F93099">
            <w:pPr>
              <w:spacing w:before="120" w:after="120"/>
              <w:jc w:val="center"/>
              <w:rPr>
                <w:rFonts w:cs="Calibri"/>
                <w:b/>
                <w:bCs/>
                <w:color w:val="FFFFFF"/>
                <w:sz w:val="16"/>
                <w:szCs w:val="16"/>
                <w:lang w:val="en-US"/>
              </w:rPr>
            </w:pPr>
            <w:r>
              <w:rPr>
                <w:rFonts w:cs="Calibri"/>
                <w:b/>
                <w:bCs/>
                <w:color w:val="FFFFFF"/>
                <w:sz w:val="16"/>
                <w:szCs w:val="16"/>
                <w:lang w:val="en-US"/>
              </w:rPr>
              <w:t>Percentage Loss</w:t>
            </w:r>
          </w:p>
        </w:tc>
        <w:tc>
          <w:tcPr>
            <w:tcW w:w="357" w:type="pct"/>
            <w:shd w:val="clear" w:color="auto" w:fill="002060"/>
          </w:tcPr>
          <w:p w14:paraId="2BBB2563" w14:textId="77777777" w:rsidR="005A6DBB" w:rsidRDefault="00F93099">
            <w:pPr>
              <w:spacing w:before="120" w:after="120"/>
              <w:jc w:val="center"/>
              <w:rPr>
                <w:rFonts w:cs="Calibri"/>
                <w:b/>
                <w:bCs/>
                <w:color w:val="FFFFFF"/>
                <w:sz w:val="16"/>
                <w:szCs w:val="16"/>
                <w:lang w:val="en-US"/>
              </w:rPr>
            </w:pPr>
            <w:r>
              <w:rPr>
                <w:rFonts w:cs="Calibri"/>
                <w:b/>
                <w:bCs/>
                <w:color w:val="FFFFFF"/>
                <w:sz w:val="16"/>
                <w:szCs w:val="16"/>
                <w:lang w:val="en-US"/>
              </w:rPr>
              <w:t>Norm</w:t>
            </w:r>
          </w:p>
        </w:tc>
      </w:tr>
      <w:tr w:rsidR="005A6DBB" w14:paraId="15266FAF" w14:textId="77777777">
        <w:trPr>
          <w:trHeight w:val="315"/>
        </w:trPr>
        <w:tc>
          <w:tcPr>
            <w:tcW w:w="1221" w:type="pct"/>
            <w:vMerge w:val="restart"/>
            <w:shd w:val="clear" w:color="auto" w:fill="D4E1ED"/>
            <w:noWrap/>
            <w:vAlign w:val="center"/>
          </w:tcPr>
          <w:p w14:paraId="287B92C8" w14:textId="77777777" w:rsidR="005A6DBB" w:rsidRDefault="00F93099">
            <w:pPr>
              <w:spacing w:before="120" w:after="120"/>
              <w:jc w:val="left"/>
              <w:rPr>
                <w:rFonts w:cs="Calibri"/>
                <w:color w:val="000000"/>
                <w:sz w:val="16"/>
                <w:szCs w:val="16"/>
                <w:lang w:val="en-US"/>
              </w:rPr>
            </w:pPr>
            <w:r>
              <w:rPr>
                <w:rFonts w:cs="Calibri"/>
                <w:color w:val="000000"/>
                <w:sz w:val="16"/>
                <w:szCs w:val="16"/>
              </w:rPr>
              <w:t>Electricity losses</w:t>
            </w:r>
          </w:p>
        </w:tc>
        <w:tc>
          <w:tcPr>
            <w:tcW w:w="811" w:type="pct"/>
            <w:vMerge w:val="restart"/>
            <w:shd w:val="clear" w:color="auto" w:fill="D4E1ED"/>
            <w:noWrap/>
            <w:vAlign w:val="center"/>
          </w:tcPr>
          <w:p w14:paraId="27BAC798"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241 915 025</w:t>
            </w:r>
          </w:p>
        </w:tc>
        <w:tc>
          <w:tcPr>
            <w:tcW w:w="786" w:type="pct"/>
            <w:shd w:val="clear" w:color="auto" w:fill="D4E1ED"/>
            <w:noWrap/>
            <w:vAlign w:val="center"/>
          </w:tcPr>
          <w:p w14:paraId="4387C9E4"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7.31%</w:t>
            </w:r>
          </w:p>
        </w:tc>
        <w:tc>
          <w:tcPr>
            <w:tcW w:w="977" w:type="pct"/>
            <w:shd w:val="clear" w:color="auto" w:fill="D4E1ED"/>
            <w:noWrap/>
            <w:vAlign w:val="center"/>
          </w:tcPr>
          <w:p w14:paraId="4B590818"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3.65%</w:t>
            </w:r>
          </w:p>
        </w:tc>
        <w:tc>
          <w:tcPr>
            <w:tcW w:w="847" w:type="pct"/>
            <w:shd w:val="clear" w:color="auto" w:fill="D4E1ED"/>
            <w:vAlign w:val="center"/>
          </w:tcPr>
          <w:p w14:paraId="31985983"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10.96%</w:t>
            </w:r>
          </w:p>
        </w:tc>
        <w:tc>
          <w:tcPr>
            <w:tcW w:w="357" w:type="pct"/>
            <w:shd w:val="clear" w:color="auto" w:fill="D4E1ED"/>
          </w:tcPr>
          <w:p w14:paraId="3CAEB36F"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7-10%</w:t>
            </w:r>
          </w:p>
        </w:tc>
      </w:tr>
      <w:tr w:rsidR="005A6DBB" w14:paraId="12481D5E" w14:textId="77777777">
        <w:trPr>
          <w:trHeight w:val="315"/>
        </w:trPr>
        <w:tc>
          <w:tcPr>
            <w:tcW w:w="1221" w:type="pct"/>
            <w:vMerge/>
            <w:vAlign w:val="center"/>
          </w:tcPr>
          <w:p w14:paraId="7E97558D" w14:textId="77777777" w:rsidR="005A6DBB" w:rsidRDefault="005A6DBB">
            <w:pPr>
              <w:spacing w:before="120" w:after="120"/>
              <w:jc w:val="left"/>
              <w:rPr>
                <w:rFonts w:cs="Calibri"/>
                <w:color w:val="000000"/>
                <w:sz w:val="16"/>
                <w:szCs w:val="16"/>
                <w:lang w:val="en-US"/>
              </w:rPr>
            </w:pPr>
          </w:p>
        </w:tc>
        <w:tc>
          <w:tcPr>
            <w:tcW w:w="811" w:type="pct"/>
            <w:vMerge/>
            <w:vAlign w:val="center"/>
          </w:tcPr>
          <w:p w14:paraId="0EB9FF48" w14:textId="77777777" w:rsidR="005A6DBB" w:rsidRDefault="005A6DBB">
            <w:pPr>
              <w:spacing w:before="120" w:after="120"/>
              <w:jc w:val="center"/>
              <w:rPr>
                <w:rFonts w:cs="Calibri"/>
                <w:color w:val="000000"/>
                <w:sz w:val="16"/>
                <w:szCs w:val="16"/>
                <w:lang w:val="en-US"/>
              </w:rPr>
            </w:pPr>
          </w:p>
        </w:tc>
        <w:tc>
          <w:tcPr>
            <w:tcW w:w="786" w:type="pct"/>
            <w:shd w:val="clear" w:color="auto" w:fill="D4E1ED"/>
            <w:noWrap/>
            <w:vAlign w:val="center"/>
          </w:tcPr>
          <w:p w14:paraId="108326C8" w14:textId="77777777" w:rsidR="005A6DBB" w:rsidRDefault="00F93099">
            <w:pPr>
              <w:spacing w:before="120" w:after="120"/>
              <w:jc w:val="right"/>
              <w:rPr>
                <w:rFonts w:cs="Calibri"/>
                <w:color w:val="000000"/>
                <w:sz w:val="16"/>
                <w:szCs w:val="16"/>
                <w:lang w:val="en-US"/>
              </w:rPr>
            </w:pPr>
            <w:r>
              <w:rPr>
                <w:rFonts w:cs="Calibri"/>
                <w:color w:val="000000"/>
                <w:sz w:val="16"/>
                <w:szCs w:val="16"/>
                <w:lang w:val="en-US"/>
              </w:rPr>
              <w:t>161 350 258</w:t>
            </w:r>
          </w:p>
        </w:tc>
        <w:tc>
          <w:tcPr>
            <w:tcW w:w="977" w:type="pct"/>
            <w:shd w:val="clear" w:color="auto" w:fill="D4E1ED"/>
            <w:noWrap/>
            <w:vAlign w:val="center"/>
          </w:tcPr>
          <w:p w14:paraId="12736DEC" w14:textId="77777777" w:rsidR="005A6DBB" w:rsidRDefault="00F93099">
            <w:pPr>
              <w:spacing w:before="120" w:after="120"/>
              <w:jc w:val="right"/>
              <w:rPr>
                <w:rFonts w:cs="Calibri"/>
                <w:color w:val="000000"/>
                <w:sz w:val="16"/>
                <w:szCs w:val="16"/>
                <w:lang w:val="en-US"/>
              </w:rPr>
            </w:pPr>
            <w:r>
              <w:rPr>
                <w:rFonts w:cs="Calibri"/>
                <w:color w:val="000000"/>
                <w:sz w:val="16"/>
                <w:szCs w:val="16"/>
                <w:lang w:val="en-US"/>
              </w:rPr>
              <w:t>80 564 767</w:t>
            </w:r>
          </w:p>
        </w:tc>
        <w:tc>
          <w:tcPr>
            <w:tcW w:w="847" w:type="pct"/>
            <w:shd w:val="clear" w:color="auto" w:fill="D4E1ED"/>
            <w:vAlign w:val="center"/>
          </w:tcPr>
          <w:p w14:paraId="714CB11A" w14:textId="77777777" w:rsidR="005A6DBB" w:rsidRDefault="00F93099">
            <w:pPr>
              <w:spacing w:before="120" w:after="120"/>
              <w:jc w:val="right"/>
              <w:rPr>
                <w:rFonts w:cs="Calibri"/>
                <w:color w:val="000000"/>
                <w:sz w:val="16"/>
                <w:szCs w:val="16"/>
                <w:lang w:val="en-US"/>
              </w:rPr>
            </w:pPr>
            <w:r>
              <w:rPr>
                <w:rFonts w:cs="Calibri"/>
                <w:color w:val="000000"/>
                <w:sz w:val="16"/>
                <w:szCs w:val="16"/>
                <w:lang w:val="en-US"/>
              </w:rPr>
              <w:t>241 915 025</w:t>
            </w:r>
          </w:p>
        </w:tc>
        <w:tc>
          <w:tcPr>
            <w:tcW w:w="357" w:type="pct"/>
            <w:shd w:val="clear" w:color="auto" w:fill="D4E1ED"/>
          </w:tcPr>
          <w:p w14:paraId="26331F65" w14:textId="77777777" w:rsidR="005A6DBB" w:rsidRDefault="005A6DBB">
            <w:pPr>
              <w:spacing w:before="120" w:after="120"/>
              <w:jc w:val="center"/>
              <w:rPr>
                <w:rFonts w:cs="Calibri"/>
                <w:color w:val="000000"/>
                <w:sz w:val="16"/>
                <w:szCs w:val="16"/>
                <w:lang w:val="en-US"/>
              </w:rPr>
            </w:pPr>
          </w:p>
        </w:tc>
      </w:tr>
      <w:tr w:rsidR="005A6DBB" w14:paraId="0655152B" w14:textId="77777777">
        <w:trPr>
          <w:trHeight w:val="315"/>
        </w:trPr>
        <w:tc>
          <w:tcPr>
            <w:tcW w:w="1221" w:type="pct"/>
            <w:vMerge w:val="restart"/>
            <w:shd w:val="clear" w:color="auto" w:fill="BED3E4"/>
            <w:noWrap/>
            <w:vAlign w:val="center"/>
          </w:tcPr>
          <w:p w14:paraId="739B510C" w14:textId="77777777" w:rsidR="005A6DBB" w:rsidRDefault="00F93099">
            <w:pPr>
              <w:spacing w:before="120" w:after="120"/>
              <w:jc w:val="left"/>
              <w:rPr>
                <w:rFonts w:cs="Calibri"/>
                <w:color w:val="000000"/>
                <w:sz w:val="16"/>
                <w:szCs w:val="16"/>
                <w:lang w:val="en-US"/>
              </w:rPr>
            </w:pPr>
            <w:r>
              <w:rPr>
                <w:rFonts w:cs="Calibri"/>
                <w:color w:val="000000"/>
                <w:sz w:val="16"/>
                <w:szCs w:val="16"/>
              </w:rPr>
              <w:t>Water losses</w:t>
            </w:r>
          </w:p>
        </w:tc>
        <w:tc>
          <w:tcPr>
            <w:tcW w:w="811" w:type="pct"/>
            <w:vMerge w:val="restart"/>
            <w:shd w:val="clear" w:color="auto" w:fill="BED3E4"/>
            <w:noWrap/>
            <w:vAlign w:val="center"/>
          </w:tcPr>
          <w:p w14:paraId="28813884"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406 666 962</w:t>
            </w:r>
          </w:p>
        </w:tc>
        <w:tc>
          <w:tcPr>
            <w:tcW w:w="786" w:type="pct"/>
            <w:shd w:val="clear" w:color="auto" w:fill="BED3E4"/>
            <w:noWrap/>
            <w:vAlign w:val="center"/>
          </w:tcPr>
          <w:p w14:paraId="0061DCE0"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45.00%</w:t>
            </w:r>
          </w:p>
        </w:tc>
        <w:tc>
          <w:tcPr>
            <w:tcW w:w="977" w:type="pct"/>
            <w:shd w:val="clear" w:color="auto" w:fill="BED3E4"/>
            <w:noWrap/>
            <w:vAlign w:val="center"/>
          </w:tcPr>
          <w:p w14:paraId="45632456"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0%</w:t>
            </w:r>
          </w:p>
        </w:tc>
        <w:tc>
          <w:tcPr>
            <w:tcW w:w="847" w:type="pct"/>
            <w:shd w:val="clear" w:color="auto" w:fill="BED3E4"/>
            <w:vAlign w:val="center"/>
          </w:tcPr>
          <w:p w14:paraId="0775E278"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45.00%</w:t>
            </w:r>
          </w:p>
        </w:tc>
        <w:tc>
          <w:tcPr>
            <w:tcW w:w="357" w:type="pct"/>
            <w:shd w:val="clear" w:color="auto" w:fill="BED3E4"/>
          </w:tcPr>
          <w:p w14:paraId="507DD4AF"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15-30%</w:t>
            </w:r>
          </w:p>
        </w:tc>
      </w:tr>
      <w:tr w:rsidR="005A6DBB" w14:paraId="044E8B69" w14:textId="77777777">
        <w:trPr>
          <w:trHeight w:val="315"/>
        </w:trPr>
        <w:tc>
          <w:tcPr>
            <w:tcW w:w="1221" w:type="pct"/>
            <w:vMerge/>
            <w:vAlign w:val="center"/>
          </w:tcPr>
          <w:p w14:paraId="0919D310" w14:textId="77777777" w:rsidR="005A6DBB" w:rsidRDefault="005A6DBB">
            <w:pPr>
              <w:spacing w:before="120" w:after="120"/>
              <w:jc w:val="left"/>
              <w:rPr>
                <w:rFonts w:cs="Calibri"/>
                <w:color w:val="000000"/>
                <w:sz w:val="16"/>
                <w:szCs w:val="16"/>
                <w:lang w:val="en-US"/>
              </w:rPr>
            </w:pPr>
          </w:p>
        </w:tc>
        <w:tc>
          <w:tcPr>
            <w:tcW w:w="811" w:type="pct"/>
            <w:vMerge/>
            <w:vAlign w:val="center"/>
          </w:tcPr>
          <w:p w14:paraId="3EC2C862" w14:textId="77777777" w:rsidR="005A6DBB" w:rsidRDefault="005A6DBB">
            <w:pPr>
              <w:spacing w:before="120" w:after="120"/>
              <w:jc w:val="center"/>
              <w:rPr>
                <w:rFonts w:cs="Calibri"/>
                <w:color w:val="000000"/>
                <w:sz w:val="16"/>
                <w:szCs w:val="16"/>
                <w:lang w:val="en-US"/>
              </w:rPr>
            </w:pPr>
          </w:p>
        </w:tc>
        <w:tc>
          <w:tcPr>
            <w:tcW w:w="786" w:type="pct"/>
            <w:shd w:val="clear" w:color="auto" w:fill="BED3E4"/>
            <w:noWrap/>
            <w:vAlign w:val="center"/>
          </w:tcPr>
          <w:p w14:paraId="518E1A96"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406 666 962</w:t>
            </w:r>
          </w:p>
        </w:tc>
        <w:tc>
          <w:tcPr>
            <w:tcW w:w="977" w:type="pct"/>
            <w:shd w:val="clear" w:color="auto" w:fill="BED3E4"/>
            <w:noWrap/>
            <w:vAlign w:val="center"/>
          </w:tcPr>
          <w:p w14:paraId="539ED52B"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w:t>
            </w:r>
          </w:p>
        </w:tc>
        <w:tc>
          <w:tcPr>
            <w:tcW w:w="847" w:type="pct"/>
            <w:shd w:val="clear" w:color="auto" w:fill="BED3E4"/>
            <w:vAlign w:val="center"/>
          </w:tcPr>
          <w:p w14:paraId="0F64A2F3" w14:textId="77777777" w:rsidR="005A6DBB" w:rsidRDefault="00F93099">
            <w:pPr>
              <w:spacing w:before="120" w:after="120"/>
              <w:jc w:val="center"/>
              <w:rPr>
                <w:rFonts w:cs="Calibri"/>
                <w:color w:val="000000"/>
                <w:sz w:val="16"/>
                <w:szCs w:val="16"/>
                <w:lang w:val="en-US"/>
              </w:rPr>
            </w:pPr>
            <w:r>
              <w:rPr>
                <w:rFonts w:cs="Calibri"/>
                <w:color w:val="000000"/>
                <w:sz w:val="16"/>
                <w:szCs w:val="16"/>
                <w:lang w:val="en-US"/>
              </w:rPr>
              <w:t>406 666 962</w:t>
            </w:r>
          </w:p>
        </w:tc>
        <w:tc>
          <w:tcPr>
            <w:tcW w:w="357" w:type="pct"/>
            <w:shd w:val="clear" w:color="auto" w:fill="BED3E4"/>
          </w:tcPr>
          <w:p w14:paraId="22CBECF7" w14:textId="77777777" w:rsidR="005A6DBB" w:rsidRDefault="005A6DBB">
            <w:pPr>
              <w:spacing w:before="120" w:after="120"/>
              <w:jc w:val="center"/>
              <w:rPr>
                <w:rFonts w:cs="Calibri"/>
                <w:color w:val="000000"/>
                <w:sz w:val="16"/>
                <w:szCs w:val="16"/>
                <w:lang w:val="en-US"/>
              </w:rPr>
            </w:pPr>
          </w:p>
        </w:tc>
      </w:tr>
      <w:tr w:rsidR="005A6DBB" w14:paraId="363429EB" w14:textId="77777777">
        <w:trPr>
          <w:trHeight w:val="315"/>
        </w:trPr>
        <w:tc>
          <w:tcPr>
            <w:tcW w:w="1221" w:type="pct"/>
            <w:shd w:val="clear" w:color="auto" w:fill="D4E1ED"/>
            <w:noWrap/>
            <w:vAlign w:val="center"/>
          </w:tcPr>
          <w:p w14:paraId="54470027" w14:textId="77777777" w:rsidR="005A6DBB" w:rsidRDefault="00F93099">
            <w:pPr>
              <w:spacing w:before="120" w:after="120"/>
              <w:jc w:val="left"/>
              <w:rPr>
                <w:rFonts w:cs="Calibri"/>
                <w:b/>
                <w:bCs/>
                <w:color w:val="000000"/>
                <w:sz w:val="16"/>
                <w:szCs w:val="16"/>
                <w:lang w:val="en-US"/>
              </w:rPr>
            </w:pPr>
            <w:r>
              <w:rPr>
                <w:rFonts w:cs="Calibri"/>
                <w:b/>
                <w:bCs/>
                <w:color w:val="000000"/>
                <w:sz w:val="16"/>
                <w:szCs w:val="16"/>
              </w:rPr>
              <w:t>Total revenue losses</w:t>
            </w:r>
          </w:p>
        </w:tc>
        <w:tc>
          <w:tcPr>
            <w:tcW w:w="811" w:type="pct"/>
            <w:shd w:val="clear" w:color="auto" w:fill="D4E1ED"/>
            <w:noWrap/>
            <w:vAlign w:val="center"/>
          </w:tcPr>
          <w:p w14:paraId="42DDBD2C" w14:textId="77777777" w:rsidR="005A6DBB" w:rsidRDefault="00F93099">
            <w:pPr>
              <w:spacing w:before="120" w:after="120"/>
              <w:jc w:val="center"/>
              <w:rPr>
                <w:rFonts w:cs="Calibri"/>
                <w:b/>
                <w:bCs/>
                <w:color w:val="000000"/>
                <w:sz w:val="16"/>
                <w:szCs w:val="16"/>
                <w:lang w:val="en-US"/>
              </w:rPr>
            </w:pPr>
            <w:r>
              <w:rPr>
                <w:rFonts w:cs="Calibri"/>
                <w:b/>
                <w:bCs/>
                <w:color w:val="000000"/>
                <w:sz w:val="16"/>
                <w:szCs w:val="16"/>
                <w:lang w:val="en-US"/>
              </w:rPr>
              <w:t>648 581 987</w:t>
            </w:r>
          </w:p>
        </w:tc>
        <w:tc>
          <w:tcPr>
            <w:tcW w:w="786" w:type="pct"/>
            <w:shd w:val="clear" w:color="auto" w:fill="D4E1ED"/>
            <w:noWrap/>
            <w:vAlign w:val="center"/>
          </w:tcPr>
          <w:p w14:paraId="4FAF1521" w14:textId="77777777" w:rsidR="005A6DBB" w:rsidRDefault="00F93099">
            <w:pPr>
              <w:spacing w:before="120" w:after="120"/>
              <w:jc w:val="center"/>
              <w:rPr>
                <w:rFonts w:cs="Calibri"/>
                <w:b/>
                <w:bCs/>
                <w:color w:val="000000"/>
                <w:sz w:val="16"/>
                <w:szCs w:val="16"/>
                <w:lang w:val="en-US"/>
              </w:rPr>
            </w:pPr>
            <w:r>
              <w:rPr>
                <w:rFonts w:cs="Calibri"/>
                <w:b/>
                <w:bCs/>
                <w:color w:val="000000"/>
                <w:sz w:val="16"/>
                <w:szCs w:val="16"/>
                <w:lang w:val="en-US"/>
              </w:rPr>
              <w:t>568 017 220</w:t>
            </w:r>
          </w:p>
        </w:tc>
        <w:tc>
          <w:tcPr>
            <w:tcW w:w="977" w:type="pct"/>
            <w:shd w:val="clear" w:color="auto" w:fill="D4E1ED"/>
            <w:noWrap/>
            <w:vAlign w:val="center"/>
          </w:tcPr>
          <w:p w14:paraId="0ACA6C28" w14:textId="77777777" w:rsidR="005A6DBB" w:rsidRDefault="00F93099">
            <w:pPr>
              <w:spacing w:before="120" w:after="120"/>
              <w:jc w:val="center"/>
              <w:rPr>
                <w:rFonts w:cs="Calibri"/>
                <w:b/>
                <w:bCs/>
                <w:color w:val="000000"/>
                <w:sz w:val="16"/>
                <w:szCs w:val="16"/>
                <w:lang w:val="en-US"/>
              </w:rPr>
            </w:pPr>
            <w:r>
              <w:rPr>
                <w:rFonts w:cs="Calibri"/>
                <w:b/>
                <w:bCs/>
                <w:color w:val="000000"/>
                <w:sz w:val="16"/>
                <w:szCs w:val="16"/>
                <w:lang w:val="en-US"/>
              </w:rPr>
              <w:t>80 564 767</w:t>
            </w:r>
          </w:p>
        </w:tc>
        <w:tc>
          <w:tcPr>
            <w:tcW w:w="847" w:type="pct"/>
            <w:shd w:val="clear" w:color="auto" w:fill="D4E1ED"/>
            <w:vAlign w:val="center"/>
          </w:tcPr>
          <w:p w14:paraId="12A3F3DB" w14:textId="77777777" w:rsidR="005A6DBB" w:rsidRDefault="00F93099">
            <w:pPr>
              <w:spacing w:before="120" w:after="120"/>
              <w:jc w:val="center"/>
              <w:rPr>
                <w:rFonts w:cs="Calibri"/>
                <w:b/>
                <w:bCs/>
                <w:color w:val="000000"/>
                <w:sz w:val="16"/>
                <w:szCs w:val="16"/>
                <w:lang w:val="en-US"/>
              </w:rPr>
            </w:pPr>
            <w:r>
              <w:rPr>
                <w:rFonts w:cs="Calibri"/>
                <w:b/>
                <w:bCs/>
                <w:color w:val="000000"/>
                <w:sz w:val="16"/>
                <w:szCs w:val="16"/>
                <w:lang w:val="en-US"/>
              </w:rPr>
              <w:t>55.96%</w:t>
            </w:r>
          </w:p>
        </w:tc>
        <w:tc>
          <w:tcPr>
            <w:tcW w:w="357" w:type="pct"/>
            <w:shd w:val="clear" w:color="auto" w:fill="D4E1ED"/>
          </w:tcPr>
          <w:p w14:paraId="36CECA50" w14:textId="77777777" w:rsidR="005A6DBB" w:rsidRDefault="005A6DBB">
            <w:pPr>
              <w:keepNext/>
              <w:spacing w:before="120" w:after="120"/>
              <w:jc w:val="center"/>
              <w:rPr>
                <w:rFonts w:cs="Calibri"/>
                <w:b/>
                <w:bCs/>
                <w:color w:val="000000"/>
                <w:sz w:val="16"/>
                <w:szCs w:val="16"/>
                <w:lang w:val="en-US"/>
              </w:rPr>
            </w:pPr>
          </w:p>
        </w:tc>
      </w:tr>
    </w:tbl>
    <w:p w14:paraId="0A38E175" w14:textId="5C7ED4D4" w:rsidR="005A6DBB" w:rsidRDefault="00F93099">
      <w:pPr>
        <w:pStyle w:val="Caption"/>
      </w:pPr>
      <w:r>
        <w:t xml:space="preserve">Table </w:t>
      </w:r>
      <w:r>
        <w:fldChar w:fldCharType="begin"/>
      </w:r>
      <w:r>
        <w:instrText xml:space="preserve"> SEQ Table \* ARABIC </w:instrText>
      </w:r>
      <w:r>
        <w:fldChar w:fldCharType="separate"/>
      </w:r>
      <w:r w:rsidR="00A564BE">
        <w:rPr>
          <w:noProof/>
        </w:rPr>
        <w:t>26</w:t>
      </w:r>
      <w:r>
        <w:fldChar w:fldCharType="end"/>
      </w:r>
      <w:r>
        <w:t xml:space="preserve"> - Electricity and Water Revenue Losses</w:t>
      </w:r>
    </w:p>
    <w:p w14:paraId="432E0B1D" w14:textId="77777777" w:rsidR="005A6DBB" w:rsidRDefault="00F93099">
      <w:pPr>
        <w:spacing w:before="120" w:after="120"/>
        <w:rPr>
          <w:lang w:val="en-US"/>
        </w:rPr>
      </w:pPr>
      <w:r>
        <w:rPr>
          <w:lang w:val="en-US"/>
        </w:rPr>
        <w:t>For Electricity, NERSA benchmarks for losses are from 5-12%.  Reported losses stand at 11% which falls within the acceptable range.  There is potential R80 million that could assist with addressing the deficit which arises from non-technical losses such as theft, meter tampering and poor billing practices.  The Municipality should ensure all customers are metered by smart meters and meter audits conducted in conjunction with meter reads.  Technical losses are system losses that occur during the transmission of electricity and are unavoidable.  The reported percentage is within the acceptable norms.</w:t>
      </w:r>
    </w:p>
    <w:p w14:paraId="586D278F" w14:textId="77777777" w:rsidR="005A6DBB" w:rsidRDefault="00F93099">
      <w:pPr>
        <w:spacing w:before="120" w:after="120"/>
        <w:rPr>
          <w:lang w:val="en-US"/>
        </w:rPr>
      </w:pPr>
      <w:r>
        <w:rPr>
          <w:lang w:val="en-US"/>
        </w:rPr>
        <w:t>Water losses are reported as only technical losses.  These are due to system failures of the infrastructure network primarily due to the ageing pipe network.  Capital projects would be required to identify areas and replace the aging pipe network.  If one considers the upper bounds of 30% for water losses, there is a potential R135 million reduction in losses that can be diverted to recover the capital costs of replacing the pipe network.</w:t>
      </w:r>
    </w:p>
    <w:tbl>
      <w:tblPr>
        <w:tblW w:w="92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25"/>
        <w:gridCol w:w="1418"/>
        <w:gridCol w:w="1701"/>
        <w:gridCol w:w="1701"/>
        <w:gridCol w:w="1559"/>
      </w:tblGrid>
      <w:tr w:rsidR="005A6DBB" w14:paraId="387526CB" w14:textId="77777777">
        <w:trPr>
          <w:trHeight w:val="315"/>
          <w:tblHeader/>
        </w:trPr>
        <w:tc>
          <w:tcPr>
            <w:tcW w:w="2825" w:type="dxa"/>
            <w:shd w:val="clear" w:color="auto" w:fill="002060"/>
            <w:noWrap/>
            <w:vAlign w:val="center"/>
          </w:tcPr>
          <w:p w14:paraId="6E93727C"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rPr>
              <w:t>Revenue Losses</w:t>
            </w:r>
          </w:p>
        </w:tc>
        <w:tc>
          <w:tcPr>
            <w:tcW w:w="1418" w:type="dxa"/>
            <w:shd w:val="clear" w:color="auto" w:fill="002060"/>
            <w:noWrap/>
            <w:vAlign w:val="center"/>
          </w:tcPr>
          <w:p w14:paraId="299C0193"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rPr>
              <w:t>2020/21 (Rands)</w:t>
            </w:r>
          </w:p>
        </w:tc>
        <w:tc>
          <w:tcPr>
            <w:tcW w:w="1701" w:type="dxa"/>
            <w:shd w:val="clear" w:color="auto" w:fill="002060"/>
            <w:noWrap/>
            <w:vAlign w:val="center"/>
          </w:tcPr>
          <w:p w14:paraId="60F52810"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Technical Losses</w:t>
            </w:r>
          </w:p>
        </w:tc>
        <w:tc>
          <w:tcPr>
            <w:tcW w:w="1701" w:type="dxa"/>
            <w:shd w:val="clear" w:color="auto" w:fill="002060"/>
            <w:noWrap/>
            <w:vAlign w:val="center"/>
          </w:tcPr>
          <w:p w14:paraId="380EC87A"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Non-Technical Losses</w:t>
            </w:r>
          </w:p>
        </w:tc>
        <w:tc>
          <w:tcPr>
            <w:tcW w:w="1559" w:type="dxa"/>
            <w:shd w:val="clear" w:color="auto" w:fill="002060"/>
            <w:noWrap/>
            <w:vAlign w:val="center"/>
          </w:tcPr>
          <w:p w14:paraId="2A2DC1EB" w14:textId="77777777" w:rsidR="005A6DBB" w:rsidRDefault="00F93099">
            <w:pPr>
              <w:spacing w:before="120" w:after="120"/>
              <w:jc w:val="center"/>
              <w:rPr>
                <w:rFonts w:cs="Calibri"/>
                <w:b/>
                <w:bCs/>
                <w:color w:val="FFFFFF"/>
                <w:sz w:val="20"/>
                <w:szCs w:val="20"/>
                <w:lang w:val="en-US"/>
              </w:rPr>
            </w:pPr>
            <w:r>
              <w:rPr>
                <w:rFonts w:cs="Calibri"/>
                <w:b/>
                <w:bCs/>
                <w:color w:val="FFFFFF"/>
                <w:sz w:val="20"/>
                <w:szCs w:val="20"/>
                <w:lang w:val="en-US"/>
              </w:rPr>
              <w:t>Percentage Loss</w:t>
            </w:r>
          </w:p>
        </w:tc>
      </w:tr>
      <w:tr w:rsidR="005A6DBB" w14:paraId="61DEA4A0" w14:textId="77777777">
        <w:trPr>
          <w:trHeight w:val="345"/>
        </w:trPr>
        <w:tc>
          <w:tcPr>
            <w:tcW w:w="2825" w:type="dxa"/>
            <w:vMerge w:val="restart"/>
            <w:shd w:val="clear" w:color="auto" w:fill="D4E1ED"/>
            <w:noWrap/>
            <w:vAlign w:val="center"/>
          </w:tcPr>
          <w:p w14:paraId="015E0C19" w14:textId="77777777" w:rsidR="005A6DBB" w:rsidRDefault="00F93099">
            <w:pPr>
              <w:spacing w:before="120" w:after="120"/>
              <w:jc w:val="left"/>
              <w:rPr>
                <w:rFonts w:cs="Calibri"/>
                <w:color w:val="000000"/>
                <w:sz w:val="20"/>
                <w:szCs w:val="22"/>
                <w:lang w:val="en-US"/>
              </w:rPr>
            </w:pPr>
            <w:r>
              <w:rPr>
                <w:sz w:val="20"/>
                <w:szCs w:val="22"/>
              </w:rPr>
              <w:t>Water losses</w:t>
            </w:r>
          </w:p>
          <w:p w14:paraId="1002C01A" w14:textId="77777777" w:rsidR="005A6DBB" w:rsidRDefault="00F93099">
            <w:pPr>
              <w:spacing w:before="120" w:after="120"/>
              <w:jc w:val="left"/>
              <w:rPr>
                <w:rFonts w:cs="Calibri"/>
                <w:color w:val="000000"/>
                <w:sz w:val="20"/>
                <w:szCs w:val="22"/>
                <w:lang w:val="en-US"/>
              </w:rPr>
            </w:pPr>
            <w:r>
              <w:rPr>
                <w:sz w:val="20"/>
                <w:szCs w:val="22"/>
              </w:rPr>
              <w:t>(Upper bound of 30%)</w:t>
            </w:r>
          </w:p>
        </w:tc>
        <w:tc>
          <w:tcPr>
            <w:tcW w:w="1418" w:type="dxa"/>
            <w:vMerge w:val="restart"/>
            <w:shd w:val="clear" w:color="auto" w:fill="D4E1ED"/>
            <w:noWrap/>
            <w:vAlign w:val="center"/>
          </w:tcPr>
          <w:p w14:paraId="54904E95" w14:textId="77777777" w:rsidR="005A6DBB" w:rsidRDefault="00F93099">
            <w:pPr>
              <w:spacing w:before="120" w:after="120"/>
              <w:jc w:val="left"/>
              <w:rPr>
                <w:rFonts w:cs="Calibri"/>
                <w:color w:val="000000"/>
                <w:sz w:val="20"/>
                <w:szCs w:val="22"/>
                <w:lang w:val="en-US"/>
              </w:rPr>
            </w:pPr>
            <w:r>
              <w:rPr>
                <w:sz w:val="20"/>
                <w:szCs w:val="22"/>
              </w:rPr>
              <w:t>R 406 666 962</w:t>
            </w:r>
          </w:p>
        </w:tc>
        <w:tc>
          <w:tcPr>
            <w:tcW w:w="1701" w:type="dxa"/>
            <w:shd w:val="clear" w:color="auto" w:fill="D4E1ED"/>
            <w:noWrap/>
          </w:tcPr>
          <w:p w14:paraId="3F2384C1" w14:textId="77777777" w:rsidR="005A6DBB" w:rsidRDefault="00F93099">
            <w:pPr>
              <w:spacing w:before="120" w:after="120"/>
              <w:jc w:val="center"/>
              <w:rPr>
                <w:rFonts w:cs="Calibri"/>
                <w:color w:val="000000"/>
                <w:sz w:val="20"/>
                <w:szCs w:val="22"/>
                <w:lang w:val="en-US"/>
              </w:rPr>
            </w:pPr>
            <w:r>
              <w:rPr>
                <w:sz w:val="20"/>
                <w:szCs w:val="22"/>
              </w:rPr>
              <w:t>30.00%</w:t>
            </w:r>
          </w:p>
        </w:tc>
        <w:tc>
          <w:tcPr>
            <w:tcW w:w="1701" w:type="dxa"/>
            <w:shd w:val="clear" w:color="auto" w:fill="D4E1ED"/>
            <w:noWrap/>
          </w:tcPr>
          <w:p w14:paraId="50A8C15F" w14:textId="77777777" w:rsidR="005A6DBB" w:rsidRDefault="00F93099">
            <w:pPr>
              <w:spacing w:before="120" w:after="120"/>
              <w:jc w:val="center"/>
              <w:rPr>
                <w:rFonts w:cs="Calibri"/>
                <w:color w:val="000000"/>
                <w:sz w:val="20"/>
                <w:szCs w:val="22"/>
                <w:lang w:val="en-US"/>
              </w:rPr>
            </w:pPr>
            <w:r>
              <w:rPr>
                <w:sz w:val="20"/>
                <w:szCs w:val="22"/>
              </w:rPr>
              <w:t>0%</w:t>
            </w:r>
          </w:p>
        </w:tc>
        <w:tc>
          <w:tcPr>
            <w:tcW w:w="1559" w:type="dxa"/>
            <w:shd w:val="clear" w:color="auto" w:fill="D4E1ED"/>
            <w:noWrap/>
          </w:tcPr>
          <w:p w14:paraId="750F2A82" w14:textId="77777777" w:rsidR="005A6DBB" w:rsidRDefault="00F93099">
            <w:pPr>
              <w:spacing w:before="120" w:after="120"/>
              <w:jc w:val="center"/>
              <w:rPr>
                <w:rFonts w:cs="Calibri"/>
                <w:color w:val="000000"/>
                <w:sz w:val="20"/>
                <w:szCs w:val="22"/>
                <w:lang w:val="en-US"/>
              </w:rPr>
            </w:pPr>
            <w:r>
              <w:rPr>
                <w:sz w:val="20"/>
                <w:szCs w:val="22"/>
              </w:rPr>
              <w:t>30.00%</w:t>
            </w:r>
          </w:p>
        </w:tc>
      </w:tr>
      <w:tr w:rsidR="005A6DBB" w14:paraId="22CE74DD" w14:textId="77777777">
        <w:trPr>
          <w:trHeight w:val="315"/>
        </w:trPr>
        <w:tc>
          <w:tcPr>
            <w:tcW w:w="2825" w:type="dxa"/>
            <w:vMerge/>
          </w:tcPr>
          <w:p w14:paraId="355E8171" w14:textId="77777777" w:rsidR="005A6DBB" w:rsidRDefault="005A6DBB">
            <w:pPr>
              <w:spacing w:before="120" w:after="120"/>
              <w:jc w:val="left"/>
              <w:rPr>
                <w:rFonts w:cs="Calibri"/>
                <w:color w:val="000000"/>
                <w:sz w:val="20"/>
                <w:szCs w:val="22"/>
                <w:lang w:val="en-US"/>
              </w:rPr>
            </w:pPr>
          </w:p>
        </w:tc>
        <w:tc>
          <w:tcPr>
            <w:tcW w:w="1418" w:type="dxa"/>
            <w:vMerge/>
          </w:tcPr>
          <w:p w14:paraId="0598946F" w14:textId="77777777" w:rsidR="005A6DBB" w:rsidRDefault="005A6DBB">
            <w:pPr>
              <w:spacing w:before="120" w:after="120"/>
              <w:jc w:val="center"/>
              <w:rPr>
                <w:rFonts w:cs="Calibri"/>
                <w:color w:val="000000"/>
                <w:sz w:val="20"/>
                <w:szCs w:val="22"/>
                <w:lang w:val="en-US"/>
              </w:rPr>
            </w:pPr>
          </w:p>
        </w:tc>
        <w:tc>
          <w:tcPr>
            <w:tcW w:w="1701" w:type="dxa"/>
            <w:shd w:val="clear" w:color="auto" w:fill="D4E1ED"/>
            <w:noWrap/>
          </w:tcPr>
          <w:p w14:paraId="49832BA2" w14:textId="77777777" w:rsidR="005A6DBB" w:rsidRDefault="00F93099">
            <w:pPr>
              <w:spacing w:before="120" w:after="120"/>
              <w:jc w:val="center"/>
              <w:rPr>
                <w:rFonts w:cs="Calibri"/>
                <w:color w:val="000000"/>
                <w:sz w:val="20"/>
                <w:szCs w:val="22"/>
                <w:lang w:val="en-US"/>
              </w:rPr>
            </w:pPr>
            <w:r>
              <w:rPr>
                <w:sz w:val="20"/>
                <w:szCs w:val="22"/>
              </w:rPr>
              <w:t xml:space="preserve">R 271 111 308 </w:t>
            </w:r>
          </w:p>
        </w:tc>
        <w:tc>
          <w:tcPr>
            <w:tcW w:w="1701" w:type="dxa"/>
            <w:shd w:val="clear" w:color="auto" w:fill="D4E1ED"/>
            <w:noWrap/>
          </w:tcPr>
          <w:p w14:paraId="482DC05D" w14:textId="77777777" w:rsidR="005A6DBB" w:rsidRDefault="005A6DBB">
            <w:pPr>
              <w:spacing w:before="120" w:after="120"/>
              <w:rPr>
                <w:rFonts w:cs="Calibri"/>
                <w:color w:val="000000"/>
                <w:sz w:val="20"/>
                <w:szCs w:val="22"/>
                <w:lang w:val="en-US"/>
              </w:rPr>
            </w:pPr>
          </w:p>
        </w:tc>
        <w:tc>
          <w:tcPr>
            <w:tcW w:w="1559" w:type="dxa"/>
            <w:shd w:val="clear" w:color="auto" w:fill="D4E1ED"/>
            <w:noWrap/>
          </w:tcPr>
          <w:p w14:paraId="1E3999D0" w14:textId="77777777" w:rsidR="005A6DBB" w:rsidRDefault="00F93099">
            <w:pPr>
              <w:spacing w:before="120" w:after="120"/>
              <w:jc w:val="center"/>
              <w:rPr>
                <w:rFonts w:cs="Calibri"/>
                <w:color w:val="000000"/>
                <w:sz w:val="20"/>
                <w:szCs w:val="22"/>
                <w:lang w:val="en-US"/>
              </w:rPr>
            </w:pPr>
            <w:r>
              <w:rPr>
                <w:sz w:val="20"/>
                <w:szCs w:val="22"/>
              </w:rPr>
              <w:t>R 271 111 308</w:t>
            </w:r>
          </w:p>
        </w:tc>
      </w:tr>
      <w:tr w:rsidR="005A6DBB" w14:paraId="435B3661" w14:textId="77777777">
        <w:trPr>
          <w:trHeight w:val="315"/>
        </w:trPr>
        <w:tc>
          <w:tcPr>
            <w:tcW w:w="2825" w:type="dxa"/>
            <w:vMerge w:val="restart"/>
            <w:shd w:val="clear" w:color="auto" w:fill="BED3E4"/>
            <w:noWrap/>
            <w:vAlign w:val="center"/>
          </w:tcPr>
          <w:p w14:paraId="656613E1" w14:textId="77777777" w:rsidR="005A6DBB" w:rsidRDefault="00F93099">
            <w:pPr>
              <w:spacing w:before="120" w:after="120"/>
              <w:jc w:val="left"/>
              <w:rPr>
                <w:rFonts w:cs="Calibri"/>
                <w:color w:val="000000"/>
                <w:sz w:val="20"/>
                <w:szCs w:val="20"/>
              </w:rPr>
            </w:pPr>
            <w:r>
              <w:rPr>
                <w:rFonts w:cs="Calibri"/>
                <w:color w:val="000000" w:themeColor="text1"/>
                <w:sz w:val="20"/>
                <w:szCs w:val="20"/>
              </w:rPr>
              <w:t>Water losses</w:t>
            </w:r>
          </w:p>
          <w:p w14:paraId="18159787" w14:textId="77777777" w:rsidR="005A6DBB" w:rsidRDefault="00F93099">
            <w:pPr>
              <w:spacing w:before="120" w:after="120"/>
              <w:jc w:val="left"/>
              <w:rPr>
                <w:rFonts w:cs="Calibri"/>
                <w:color w:val="000000"/>
                <w:sz w:val="20"/>
                <w:szCs w:val="20"/>
                <w:lang w:val="en-US"/>
              </w:rPr>
            </w:pPr>
            <w:r>
              <w:rPr>
                <w:rFonts w:cs="Calibri"/>
                <w:color w:val="000000"/>
                <w:sz w:val="20"/>
                <w:szCs w:val="20"/>
              </w:rPr>
              <w:t>(</w:t>
            </w:r>
            <w:r>
              <w:rPr>
                <w:rFonts w:cs="Calibri"/>
                <w:color w:val="000000" w:themeColor="text1"/>
                <w:sz w:val="20"/>
                <w:szCs w:val="20"/>
              </w:rPr>
              <w:t>Potential recoverable revenue</w:t>
            </w:r>
            <w:r>
              <w:rPr>
                <w:rFonts w:cs="Calibri"/>
                <w:color w:val="000000"/>
                <w:sz w:val="20"/>
                <w:szCs w:val="20"/>
              </w:rPr>
              <w:t>)</w:t>
            </w:r>
          </w:p>
        </w:tc>
        <w:tc>
          <w:tcPr>
            <w:tcW w:w="1418" w:type="dxa"/>
            <w:vMerge w:val="restart"/>
            <w:shd w:val="clear" w:color="auto" w:fill="BED3E4"/>
            <w:noWrap/>
            <w:vAlign w:val="center"/>
          </w:tcPr>
          <w:p w14:paraId="0F62C207"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R 406 666 962</w:t>
            </w:r>
          </w:p>
        </w:tc>
        <w:tc>
          <w:tcPr>
            <w:tcW w:w="1701" w:type="dxa"/>
            <w:shd w:val="clear" w:color="auto" w:fill="BED3E4"/>
            <w:noWrap/>
            <w:vAlign w:val="center"/>
          </w:tcPr>
          <w:p w14:paraId="5ABA51EB"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15.00%</w:t>
            </w:r>
          </w:p>
        </w:tc>
        <w:tc>
          <w:tcPr>
            <w:tcW w:w="1701" w:type="dxa"/>
            <w:shd w:val="clear" w:color="auto" w:fill="BED3E4"/>
            <w:noWrap/>
            <w:vAlign w:val="center"/>
          </w:tcPr>
          <w:p w14:paraId="38E59A3C"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0%</w:t>
            </w:r>
          </w:p>
        </w:tc>
        <w:tc>
          <w:tcPr>
            <w:tcW w:w="1559" w:type="dxa"/>
            <w:shd w:val="clear" w:color="auto" w:fill="BED3E4"/>
            <w:noWrap/>
            <w:vAlign w:val="center"/>
          </w:tcPr>
          <w:p w14:paraId="5B5ABEEB"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15.00%</w:t>
            </w:r>
          </w:p>
        </w:tc>
      </w:tr>
      <w:tr w:rsidR="005A6DBB" w14:paraId="5B5A6CC6" w14:textId="77777777">
        <w:trPr>
          <w:trHeight w:val="315"/>
        </w:trPr>
        <w:tc>
          <w:tcPr>
            <w:tcW w:w="2825" w:type="dxa"/>
            <w:vMerge/>
            <w:vAlign w:val="center"/>
          </w:tcPr>
          <w:p w14:paraId="1D420E7E" w14:textId="77777777" w:rsidR="005A6DBB" w:rsidRDefault="005A6DBB">
            <w:pPr>
              <w:spacing w:before="120" w:after="120"/>
              <w:jc w:val="left"/>
              <w:rPr>
                <w:rFonts w:cs="Calibri"/>
                <w:color w:val="000000"/>
                <w:sz w:val="20"/>
                <w:szCs w:val="20"/>
                <w:lang w:val="en-US"/>
              </w:rPr>
            </w:pPr>
          </w:p>
        </w:tc>
        <w:tc>
          <w:tcPr>
            <w:tcW w:w="1418" w:type="dxa"/>
            <w:vMerge/>
            <w:vAlign w:val="center"/>
          </w:tcPr>
          <w:p w14:paraId="0A32B6CB" w14:textId="77777777" w:rsidR="005A6DBB" w:rsidRDefault="005A6DBB">
            <w:pPr>
              <w:spacing w:before="120" w:after="120"/>
              <w:jc w:val="center"/>
              <w:rPr>
                <w:rFonts w:cs="Calibri"/>
                <w:color w:val="000000"/>
                <w:sz w:val="20"/>
                <w:szCs w:val="20"/>
                <w:lang w:val="en-US"/>
              </w:rPr>
            </w:pPr>
          </w:p>
        </w:tc>
        <w:tc>
          <w:tcPr>
            <w:tcW w:w="1701" w:type="dxa"/>
            <w:shd w:val="clear" w:color="auto" w:fill="BED3E4"/>
            <w:noWrap/>
            <w:vAlign w:val="center"/>
          </w:tcPr>
          <w:p w14:paraId="569B3401"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R 135 555 654</w:t>
            </w:r>
          </w:p>
        </w:tc>
        <w:tc>
          <w:tcPr>
            <w:tcW w:w="1701" w:type="dxa"/>
            <w:shd w:val="clear" w:color="auto" w:fill="BED3E4"/>
            <w:noWrap/>
            <w:vAlign w:val="center"/>
          </w:tcPr>
          <w:p w14:paraId="1B26F54A"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w:t>
            </w:r>
          </w:p>
        </w:tc>
        <w:tc>
          <w:tcPr>
            <w:tcW w:w="1559" w:type="dxa"/>
            <w:shd w:val="clear" w:color="auto" w:fill="BED3E4"/>
            <w:noWrap/>
            <w:vAlign w:val="center"/>
          </w:tcPr>
          <w:p w14:paraId="409CD314" w14:textId="77777777" w:rsidR="005A6DBB" w:rsidRDefault="00F93099">
            <w:pPr>
              <w:spacing w:before="120" w:after="120"/>
              <w:jc w:val="center"/>
              <w:rPr>
                <w:rFonts w:cs="Calibri"/>
                <w:color w:val="000000"/>
                <w:sz w:val="20"/>
                <w:szCs w:val="20"/>
                <w:lang w:val="en-US"/>
              </w:rPr>
            </w:pPr>
            <w:r>
              <w:rPr>
                <w:rFonts w:cs="Calibri"/>
                <w:color w:val="000000"/>
                <w:sz w:val="20"/>
                <w:szCs w:val="20"/>
                <w:lang w:val="en-US"/>
              </w:rPr>
              <w:t>R 135 555 654</w:t>
            </w:r>
          </w:p>
        </w:tc>
      </w:tr>
      <w:tr w:rsidR="005A6DBB" w14:paraId="0098BE77" w14:textId="77777777">
        <w:trPr>
          <w:trHeight w:val="315"/>
        </w:trPr>
        <w:tc>
          <w:tcPr>
            <w:tcW w:w="2825" w:type="dxa"/>
            <w:shd w:val="clear" w:color="auto" w:fill="D4E1ED"/>
            <w:noWrap/>
            <w:vAlign w:val="center"/>
          </w:tcPr>
          <w:p w14:paraId="370BBED9" w14:textId="77777777" w:rsidR="005A6DBB" w:rsidRDefault="00F93099">
            <w:pPr>
              <w:spacing w:before="120" w:after="120"/>
              <w:jc w:val="left"/>
              <w:rPr>
                <w:rFonts w:cs="Calibri"/>
                <w:b/>
                <w:bCs/>
                <w:color w:val="000000"/>
                <w:sz w:val="20"/>
                <w:szCs w:val="20"/>
              </w:rPr>
            </w:pPr>
            <w:r>
              <w:rPr>
                <w:rFonts w:cs="Calibri"/>
                <w:b/>
                <w:bCs/>
                <w:color w:val="000000"/>
                <w:sz w:val="20"/>
                <w:szCs w:val="20"/>
              </w:rPr>
              <w:t>Total revenue losses</w:t>
            </w:r>
          </w:p>
          <w:p w14:paraId="58A55948" w14:textId="77777777" w:rsidR="005A6DBB" w:rsidRDefault="00F93099">
            <w:pPr>
              <w:spacing w:before="120" w:after="120"/>
              <w:jc w:val="left"/>
              <w:rPr>
                <w:rFonts w:cs="Calibri"/>
                <w:b/>
                <w:bCs/>
                <w:color w:val="000000"/>
                <w:sz w:val="20"/>
                <w:szCs w:val="20"/>
                <w:lang w:val="en-US"/>
              </w:rPr>
            </w:pPr>
            <w:r>
              <w:rPr>
                <w:rFonts w:cs="Calibri"/>
                <w:b/>
                <w:bCs/>
                <w:color w:val="000000"/>
                <w:sz w:val="20"/>
                <w:szCs w:val="20"/>
              </w:rPr>
              <w:t>(Water Only)</w:t>
            </w:r>
          </w:p>
        </w:tc>
        <w:tc>
          <w:tcPr>
            <w:tcW w:w="1418" w:type="dxa"/>
            <w:shd w:val="clear" w:color="auto" w:fill="D4E1ED"/>
            <w:noWrap/>
            <w:vAlign w:val="center"/>
          </w:tcPr>
          <w:p w14:paraId="5A5EFFD0" w14:textId="77777777" w:rsidR="005A6DBB" w:rsidRDefault="00F93099">
            <w:pPr>
              <w:spacing w:before="120" w:after="120"/>
              <w:jc w:val="center"/>
              <w:rPr>
                <w:rFonts w:cs="Calibri"/>
                <w:b/>
                <w:bCs/>
                <w:color w:val="000000"/>
                <w:sz w:val="20"/>
                <w:szCs w:val="20"/>
                <w:lang w:val="en-US"/>
              </w:rPr>
            </w:pPr>
            <w:r>
              <w:rPr>
                <w:rFonts w:cs="Calibri"/>
                <w:b/>
                <w:bCs/>
                <w:color w:val="000000"/>
                <w:sz w:val="20"/>
                <w:szCs w:val="20"/>
                <w:lang w:val="en-US"/>
              </w:rPr>
              <w:t>R 406 666 962</w:t>
            </w:r>
          </w:p>
        </w:tc>
        <w:tc>
          <w:tcPr>
            <w:tcW w:w="1701" w:type="dxa"/>
            <w:shd w:val="clear" w:color="auto" w:fill="D4E1ED"/>
            <w:noWrap/>
            <w:vAlign w:val="center"/>
          </w:tcPr>
          <w:p w14:paraId="0988B48B" w14:textId="77777777" w:rsidR="005A6DBB" w:rsidRDefault="00F93099">
            <w:pPr>
              <w:spacing w:before="120" w:after="120"/>
              <w:jc w:val="center"/>
              <w:rPr>
                <w:rFonts w:cs="Calibri"/>
                <w:b/>
                <w:bCs/>
                <w:color w:val="000000"/>
                <w:sz w:val="20"/>
                <w:szCs w:val="20"/>
                <w:lang w:val="en-US"/>
              </w:rPr>
            </w:pPr>
            <w:r>
              <w:rPr>
                <w:rFonts w:cs="Calibri"/>
                <w:b/>
                <w:bCs/>
                <w:color w:val="000000"/>
                <w:sz w:val="20"/>
                <w:szCs w:val="20"/>
                <w:lang w:val="en-US"/>
              </w:rPr>
              <w:t>R 406 666 962</w:t>
            </w:r>
          </w:p>
        </w:tc>
        <w:tc>
          <w:tcPr>
            <w:tcW w:w="1701" w:type="dxa"/>
            <w:shd w:val="clear" w:color="auto" w:fill="D4E1ED"/>
            <w:noWrap/>
            <w:vAlign w:val="center"/>
          </w:tcPr>
          <w:p w14:paraId="5C82F423" w14:textId="77777777" w:rsidR="005A6DBB" w:rsidRDefault="00F93099">
            <w:pPr>
              <w:spacing w:before="120" w:after="120"/>
              <w:jc w:val="center"/>
              <w:rPr>
                <w:rFonts w:cs="Calibri"/>
                <w:b/>
                <w:bCs/>
                <w:color w:val="000000"/>
                <w:sz w:val="20"/>
                <w:szCs w:val="20"/>
                <w:lang w:val="en-US"/>
              </w:rPr>
            </w:pPr>
            <w:r>
              <w:rPr>
                <w:rFonts w:cs="Calibri"/>
                <w:b/>
                <w:bCs/>
                <w:color w:val="000000"/>
                <w:sz w:val="20"/>
                <w:szCs w:val="20"/>
                <w:lang w:val="en-US"/>
              </w:rPr>
              <w:t>-</w:t>
            </w:r>
          </w:p>
        </w:tc>
        <w:tc>
          <w:tcPr>
            <w:tcW w:w="1559" w:type="dxa"/>
            <w:shd w:val="clear" w:color="auto" w:fill="D4E1ED"/>
            <w:noWrap/>
            <w:vAlign w:val="center"/>
          </w:tcPr>
          <w:p w14:paraId="26DCD309" w14:textId="77777777" w:rsidR="005A6DBB" w:rsidRDefault="00F93099">
            <w:pPr>
              <w:keepNext/>
              <w:spacing w:before="120" w:after="120"/>
              <w:jc w:val="center"/>
              <w:rPr>
                <w:rFonts w:cs="Calibri"/>
                <w:b/>
                <w:bCs/>
                <w:color w:val="000000"/>
                <w:sz w:val="20"/>
                <w:szCs w:val="20"/>
                <w:lang w:val="en-US"/>
              </w:rPr>
            </w:pPr>
            <w:r>
              <w:rPr>
                <w:rFonts w:cs="Calibri"/>
                <w:b/>
                <w:bCs/>
                <w:color w:val="000000"/>
                <w:sz w:val="20"/>
                <w:szCs w:val="20"/>
                <w:lang w:val="en-US"/>
              </w:rPr>
              <w:t>R 406 666 962</w:t>
            </w:r>
          </w:p>
        </w:tc>
      </w:tr>
    </w:tbl>
    <w:p w14:paraId="7ECF8590" w14:textId="5A70E7F6" w:rsidR="005A6DBB" w:rsidRDefault="00F93099">
      <w:pPr>
        <w:pStyle w:val="Caption"/>
      </w:pPr>
      <w:r>
        <w:t xml:space="preserve">Table </w:t>
      </w:r>
      <w:r>
        <w:fldChar w:fldCharType="begin"/>
      </w:r>
      <w:r>
        <w:instrText xml:space="preserve"> SEQ Table \* ARABIC </w:instrText>
      </w:r>
      <w:r>
        <w:fldChar w:fldCharType="separate"/>
      </w:r>
      <w:r w:rsidR="00A564BE">
        <w:rPr>
          <w:noProof/>
        </w:rPr>
        <w:t>27</w:t>
      </w:r>
      <w:r>
        <w:fldChar w:fldCharType="end"/>
      </w:r>
      <w:r>
        <w:t xml:space="preserve"> - Distribution Losses</w:t>
      </w:r>
    </w:p>
    <w:p w14:paraId="7A43D734" w14:textId="77777777" w:rsidR="005A6DBB" w:rsidRDefault="00F93099">
      <w:r>
        <w:rPr>
          <w:lang w:val="en-US"/>
        </w:rPr>
        <w:t>A concerted drive needs to be undertaken to reduce the losses.  Addressing this can result in the total operating deficit been reduced by R216 million (Electricity – R80.5 million and Water – R135.5 million). Without the proper studies been undertaken such as the Masterplans and Asset Management Plans, it is impossible in this report to state specific projects however project types such as smart meter replacements, zonal and bulk metering, obsolete equipment replacement and pipe replacements would be the type of projects that would result in a reduction in losses and should be a focus area in the FRP.</w:t>
      </w:r>
    </w:p>
    <w:p w14:paraId="17A3CEDE"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78" w:name="_Toc132362453"/>
      <w:bookmarkStart w:id="79" w:name="_Toc137732232"/>
      <w:r>
        <w:rPr>
          <w:rFonts w:cs="Arial"/>
          <w:b/>
        </w:rPr>
        <w:t>WORKSHOP CONCLUSIONS</w:t>
      </w:r>
      <w:bookmarkEnd w:id="78"/>
      <w:bookmarkEnd w:id="79"/>
    </w:p>
    <w:p w14:paraId="0243E090" w14:textId="77777777" w:rsidR="005A6DBB" w:rsidRDefault="00F93099">
      <w:pPr>
        <w:spacing w:before="120" w:after="120"/>
        <w:rPr>
          <w:lang w:val="en-US"/>
        </w:rPr>
      </w:pPr>
      <w:r>
        <w:rPr>
          <w:lang w:val="en-US"/>
        </w:rPr>
        <w:t>The following findings were confirmed in consultation with the officials at the Municipality during the workshop held on 22 and 23 February 2023:</w:t>
      </w:r>
    </w:p>
    <w:tbl>
      <w:tblPr>
        <w:tblW w:w="0" w:type="auto"/>
        <w:tblLook w:val="04A0" w:firstRow="1" w:lastRow="0" w:firstColumn="1" w:lastColumn="0" w:noHBand="0" w:noVBand="1"/>
      </w:tblPr>
      <w:tblGrid>
        <w:gridCol w:w="1869"/>
        <w:gridCol w:w="2440"/>
        <w:gridCol w:w="2273"/>
        <w:gridCol w:w="2610"/>
      </w:tblGrid>
      <w:tr w:rsidR="005A6DBB" w14:paraId="43591B4B" w14:textId="77777777">
        <w:trPr>
          <w:trHeight w:val="315"/>
          <w:tblHeader/>
        </w:trPr>
        <w:tc>
          <w:tcPr>
            <w:tcW w:w="0" w:type="auto"/>
            <w:tcBorders>
              <w:top w:val="single" w:sz="8" w:space="0" w:color="FFFFFF"/>
              <w:left w:val="single" w:sz="8" w:space="0" w:color="FFFFFF"/>
              <w:bottom w:val="single" w:sz="8" w:space="0" w:color="FFFFFF"/>
              <w:right w:val="single" w:sz="8" w:space="0" w:color="FFFFFF"/>
            </w:tcBorders>
            <w:shd w:val="clear" w:color="000000" w:fill="002060"/>
          </w:tcPr>
          <w:p w14:paraId="010A937D" w14:textId="77777777" w:rsidR="005A6DBB" w:rsidRDefault="00F93099">
            <w:pPr>
              <w:spacing w:before="120" w:after="120" w:line="240" w:lineRule="auto"/>
              <w:contextualSpacing/>
              <w:rPr>
                <w:rFonts w:asciiTheme="minorHAnsi" w:hAnsiTheme="minorHAnsi" w:cstheme="minorHAnsi"/>
                <w:b/>
                <w:bCs/>
                <w:color w:val="FFFFFF"/>
                <w:sz w:val="20"/>
                <w:szCs w:val="22"/>
                <w:lang w:val="en-US"/>
              </w:rPr>
            </w:pPr>
            <w:r>
              <w:rPr>
                <w:b/>
                <w:bCs/>
                <w:color w:val="FFFFFF" w:themeColor="background1"/>
                <w:sz w:val="20"/>
                <w:szCs w:val="22"/>
              </w:rPr>
              <w:t>Focus Area</w:t>
            </w:r>
          </w:p>
        </w:tc>
        <w:tc>
          <w:tcPr>
            <w:tcW w:w="0" w:type="auto"/>
            <w:tcBorders>
              <w:top w:val="single" w:sz="8" w:space="0" w:color="FFFFFF"/>
              <w:left w:val="nil"/>
              <w:bottom w:val="single" w:sz="8" w:space="0" w:color="FFFFFF"/>
              <w:right w:val="single" w:sz="8" w:space="0" w:color="FFFFFF"/>
            </w:tcBorders>
            <w:shd w:val="clear" w:color="000000" w:fill="002060"/>
          </w:tcPr>
          <w:p w14:paraId="0DC8C51C" w14:textId="77777777" w:rsidR="005A6DBB" w:rsidRDefault="00F93099">
            <w:pPr>
              <w:spacing w:before="120" w:after="120" w:line="240" w:lineRule="auto"/>
              <w:contextualSpacing/>
              <w:rPr>
                <w:rFonts w:asciiTheme="minorHAnsi" w:hAnsiTheme="minorHAnsi" w:cstheme="minorHAnsi"/>
                <w:b/>
                <w:bCs/>
                <w:color w:val="FFFFFF"/>
                <w:sz w:val="20"/>
                <w:szCs w:val="22"/>
                <w:lang w:val="en-US"/>
              </w:rPr>
            </w:pPr>
            <w:r>
              <w:rPr>
                <w:b/>
                <w:bCs/>
                <w:color w:val="FFFFFF" w:themeColor="background1"/>
                <w:sz w:val="20"/>
                <w:szCs w:val="22"/>
              </w:rPr>
              <w:t>Brief Diagnostic Analysis</w:t>
            </w:r>
          </w:p>
        </w:tc>
        <w:tc>
          <w:tcPr>
            <w:tcW w:w="0" w:type="auto"/>
            <w:tcBorders>
              <w:top w:val="single" w:sz="8" w:space="0" w:color="FFFFFF"/>
              <w:left w:val="nil"/>
              <w:bottom w:val="single" w:sz="8" w:space="0" w:color="FFFFFF"/>
              <w:right w:val="single" w:sz="8" w:space="0" w:color="FFFFFF"/>
            </w:tcBorders>
            <w:shd w:val="clear" w:color="000000" w:fill="002060"/>
          </w:tcPr>
          <w:p w14:paraId="6A3E6B1A" w14:textId="77777777" w:rsidR="005A6DBB" w:rsidRDefault="00F93099">
            <w:pPr>
              <w:spacing w:before="120" w:after="120" w:line="240" w:lineRule="auto"/>
              <w:contextualSpacing/>
              <w:rPr>
                <w:rFonts w:asciiTheme="minorHAnsi" w:hAnsiTheme="minorHAnsi" w:cstheme="minorHAnsi"/>
                <w:b/>
                <w:bCs/>
                <w:color w:val="FFFFFF"/>
                <w:sz w:val="20"/>
                <w:szCs w:val="22"/>
                <w:lang w:val="en-US"/>
              </w:rPr>
            </w:pPr>
            <w:r>
              <w:rPr>
                <w:b/>
                <w:bCs/>
                <w:color w:val="FFFFFF" w:themeColor="background1"/>
                <w:sz w:val="20"/>
                <w:szCs w:val="22"/>
              </w:rPr>
              <w:t>Effect on Sustainability</w:t>
            </w:r>
          </w:p>
        </w:tc>
        <w:tc>
          <w:tcPr>
            <w:tcW w:w="0" w:type="auto"/>
            <w:tcBorders>
              <w:top w:val="single" w:sz="8" w:space="0" w:color="FFFFFF"/>
              <w:left w:val="nil"/>
              <w:bottom w:val="single" w:sz="8" w:space="0" w:color="FFFFFF"/>
              <w:right w:val="single" w:sz="8" w:space="0" w:color="FFFFFF"/>
            </w:tcBorders>
            <w:shd w:val="clear" w:color="000000" w:fill="002060"/>
          </w:tcPr>
          <w:p w14:paraId="779FAA67" w14:textId="77777777" w:rsidR="005A6DBB" w:rsidRDefault="00F93099">
            <w:pPr>
              <w:spacing w:before="120" w:after="120" w:line="240" w:lineRule="auto"/>
              <w:contextualSpacing/>
              <w:rPr>
                <w:rFonts w:asciiTheme="minorHAnsi" w:hAnsiTheme="minorHAnsi" w:cstheme="minorHAnsi"/>
                <w:b/>
                <w:bCs/>
                <w:color w:val="FFFFFF"/>
                <w:sz w:val="20"/>
                <w:szCs w:val="22"/>
                <w:lang w:val="en-US"/>
              </w:rPr>
            </w:pPr>
            <w:r>
              <w:rPr>
                <w:b/>
                <w:bCs/>
                <w:color w:val="FFFFFF" w:themeColor="background1"/>
                <w:sz w:val="20"/>
                <w:szCs w:val="22"/>
              </w:rPr>
              <w:t>Proposed Strategy to Resolve</w:t>
            </w:r>
          </w:p>
        </w:tc>
      </w:tr>
      <w:tr w:rsidR="005A6DBB" w14:paraId="10089E75" w14:textId="77777777">
        <w:trPr>
          <w:trHeight w:val="780"/>
        </w:trPr>
        <w:tc>
          <w:tcPr>
            <w:tcW w:w="0" w:type="auto"/>
            <w:tcBorders>
              <w:top w:val="nil"/>
              <w:left w:val="single" w:sz="8" w:space="0" w:color="FFFFFF"/>
              <w:bottom w:val="single" w:sz="8" w:space="0" w:color="FFFFFF"/>
              <w:right w:val="single" w:sz="8" w:space="0" w:color="FFFFFF"/>
            </w:tcBorders>
            <w:shd w:val="clear" w:color="000000" w:fill="D4E1ED"/>
          </w:tcPr>
          <w:p w14:paraId="4C78D90C"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No Masterplans approved and in place.</w:t>
            </w:r>
          </w:p>
        </w:tc>
        <w:tc>
          <w:tcPr>
            <w:tcW w:w="0" w:type="auto"/>
            <w:tcBorders>
              <w:top w:val="nil"/>
              <w:left w:val="nil"/>
              <w:bottom w:val="nil"/>
              <w:right w:val="single" w:sz="8" w:space="0" w:color="FFFFFF"/>
            </w:tcBorders>
            <w:shd w:val="clear" w:color="000000" w:fill="D4E1ED"/>
          </w:tcPr>
          <w:p w14:paraId="532B822A"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No budget to undertake (and in some cases to complete) plans.</w:t>
            </w:r>
          </w:p>
        </w:tc>
        <w:tc>
          <w:tcPr>
            <w:tcW w:w="0" w:type="auto"/>
            <w:tcBorders>
              <w:top w:val="nil"/>
              <w:left w:val="nil"/>
              <w:bottom w:val="nil"/>
              <w:right w:val="single" w:sz="8" w:space="0" w:color="FFFFFF"/>
            </w:tcBorders>
            <w:shd w:val="clear" w:color="000000" w:fill="D4E1ED"/>
          </w:tcPr>
          <w:p w14:paraId="472D792C"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Impacted project planning and prioritisation, poor budgeting and poor service delivery.</w:t>
            </w:r>
          </w:p>
        </w:tc>
        <w:tc>
          <w:tcPr>
            <w:tcW w:w="0" w:type="auto"/>
            <w:tcBorders>
              <w:top w:val="nil"/>
              <w:left w:val="nil"/>
              <w:bottom w:val="nil"/>
              <w:right w:val="single" w:sz="8" w:space="0" w:color="FFFFFF"/>
            </w:tcBorders>
            <w:shd w:val="clear" w:color="000000" w:fill="D4E1ED"/>
          </w:tcPr>
          <w:p w14:paraId="368E66C0"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Prioritise budget allocations.</w:t>
            </w:r>
          </w:p>
        </w:tc>
      </w:tr>
      <w:tr w:rsidR="005A6DBB" w14:paraId="47D0C2C5" w14:textId="77777777">
        <w:trPr>
          <w:trHeight w:val="765"/>
        </w:trPr>
        <w:tc>
          <w:tcPr>
            <w:tcW w:w="0" w:type="auto"/>
            <w:tcBorders>
              <w:top w:val="nil"/>
              <w:left w:val="single" w:sz="8" w:space="0" w:color="FFFFFF"/>
              <w:bottom w:val="nil"/>
              <w:right w:val="single" w:sz="8" w:space="0" w:color="FFFFFF"/>
            </w:tcBorders>
            <w:shd w:val="clear" w:color="000000" w:fill="D4E1ED"/>
          </w:tcPr>
          <w:p w14:paraId="35B3A5A7"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No Asset Management Plans per sector.</w:t>
            </w:r>
          </w:p>
        </w:tc>
        <w:tc>
          <w:tcPr>
            <w:tcW w:w="0" w:type="auto"/>
            <w:tcBorders>
              <w:top w:val="nil"/>
              <w:left w:val="nil"/>
              <w:bottom w:val="nil"/>
              <w:right w:val="single" w:sz="8" w:space="0" w:color="FFFFFF"/>
            </w:tcBorders>
            <w:shd w:val="clear" w:color="000000" w:fill="D4E1ED"/>
          </w:tcPr>
          <w:p w14:paraId="47E6C585"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No budget to undertake (and in some cases to complete) plan.</w:t>
            </w:r>
          </w:p>
        </w:tc>
        <w:tc>
          <w:tcPr>
            <w:tcW w:w="0" w:type="auto"/>
            <w:tcBorders>
              <w:top w:val="nil"/>
              <w:left w:val="nil"/>
              <w:bottom w:val="nil"/>
              <w:right w:val="single" w:sz="8" w:space="0" w:color="FFFFFF"/>
            </w:tcBorders>
            <w:shd w:val="clear" w:color="000000" w:fill="D4E1ED"/>
          </w:tcPr>
          <w:p w14:paraId="7B344E96"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Impacted asset replacement programmes and maintenance of assets resulting in poor service delivery.</w:t>
            </w:r>
          </w:p>
        </w:tc>
        <w:tc>
          <w:tcPr>
            <w:tcW w:w="0" w:type="auto"/>
            <w:tcBorders>
              <w:top w:val="nil"/>
              <w:left w:val="nil"/>
              <w:bottom w:val="nil"/>
              <w:right w:val="single" w:sz="8" w:space="0" w:color="FFFFFF"/>
            </w:tcBorders>
            <w:shd w:val="clear" w:color="000000" w:fill="D4E1ED"/>
          </w:tcPr>
          <w:p w14:paraId="20B7D771"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Prioritise budget allocations.</w:t>
            </w:r>
          </w:p>
        </w:tc>
      </w:tr>
      <w:tr w:rsidR="005A6DBB" w14:paraId="0982DA71" w14:textId="77777777">
        <w:trPr>
          <w:trHeight w:val="1275"/>
        </w:trPr>
        <w:tc>
          <w:tcPr>
            <w:tcW w:w="0" w:type="auto"/>
            <w:tcBorders>
              <w:top w:val="nil"/>
              <w:left w:val="single" w:sz="8" w:space="0" w:color="FFFFFF"/>
              <w:bottom w:val="nil"/>
              <w:right w:val="single" w:sz="8" w:space="0" w:color="FFFFFF"/>
            </w:tcBorders>
            <w:shd w:val="clear" w:color="000000" w:fill="D4E1ED"/>
          </w:tcPr>
          <w:p w14:paraId="2ECCECAA"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Funding for capital projects lacking.</w:t>
            </w:r>
          </w:p>
        </w:tc>
        <w:tc>
          <w:tcPr>
            <w:tcW w:w="0" w:type="auto"/>
            <w:tcBorders>
              <w:top w:val="nil"/>
              <w:left w:val="nil"/>
              <w:bottom w:val="nil"/>
              <w:right w:val="single" w:sz="8" w:space="0" w:color="FFFFFF"/>
            </w:tcBorders>
            <w:shd w:val="clear" w:color="000000" w:fill="D4E1ED"/>
          </w:tcPr>
          <w:p w14:paraId="069FFB38"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Funding is available through Grants to assist with capital projects however poor project management and a dysfunctional SCM department has led to a large portion of the Grant allocated not been spent.</w:t>
            </w:r>
          </w:p>
        </w:tc>
        <w:tc>
          <w:tcPr>
            <w:tcW w:w="0" w:type="auto"/>
            <w:tcBorders>
              <w:top w:val="nil"/>
              <w:left w:val="nil"/>
              <w:bottom w:val="nil"/>
              <w:right w:val="single" w:sz="8" w:space="0" w:color="FFFFFF"/>
            </w:tcBorders>
            <w:shd w:val="clear" w:color="000000" w:fill="D4E1ED"/>
          </w:tcPr>
          <w:p w14:paraId="4275556E"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Reduced grant funding to implement capital projects.</w:t>
            </w:r>
          </w:p>
        </w:tc>
        <w:tc>
          <w:tcPr>
            <w:tcW w:w="0" w:type="auto"/>
            <w:tcBorders>
              <w:top w:val="nil"/>
              <w:left w:val="nil"/>
              <w:bottom w:val="nil"/>
              <w:right w:val="single" w:sz="8" w:space="0" w:color="FFFFFF"/>
            </w:tcBorders>
            <w:shd w:val="clear" w:color="000000" w:fill="D4E1ED"/>
          </w:tcPr>
          <w:p w14:paraId="2A5B3EBE"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rPr>
              <w:t>Implementing effective project and contractor practices and controls will result in a greater percentage of the grant funding been utilised which will impact available funding in the forthcoming years.</w:t>
            </w:r>
          </w:p>
        </w:tc>
      </w:tr>
      <w:tr w:rsidR="005A6DBB" w14:paraId="1E91B454" w14:textId="77777777">
        <w:trPr>
          <w:trHeight w:val="510"/>
        </w:trPr>
        <w:tc>
          <w:tcPr>
            <w:tcW w:w="0" w:type="auto"/>
            <w:tcBorders>
              <w:top w:val="nil"/>
              <w:left w:val="single" w:sz="8" w:space="0" w:color="FFFFFF"/>
              <w:bottom w:val="nil"/>
              <w:right w:val="single" w:sz="8" w:space="0" w:color="FFFFFF"/>
            </w:tcBorders>
            <w:shd w:val="clear" w:color="000000" w:fill="D4E1ED"/>
          </w:tcPr>
          <w:p w14:paraId="7C02C53D"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Appointees lack the necessary experience and qualifications.</w:t>
            </w:r>
          </w:p>
        </w:tc>
        <w:tc>
          <w:tcPr>
            <w:tcW w:w="0" w:type="auto"/>
            <w:gridSpan w:val="3"/>
            <w:tcBorders>
              <w:top w:val="nil"/>
              <w:left w:val="nil"/>
              <w:bottom w:val="nil"/>
              <w:right w:val="single" w:sz="8" w:space="0" w:color="FFFFFF"/>
            </w:tcBorders>
            <w:shd w:val="clear" w:color="000000" w:fill="D4E1ED"/>
          </w:tcPr>
          <w:p w14:paraId="1155AB1A" w14:textId="77777777" w:rsidR="005A6DBB" w:rsidRDefault="00F93099">
            <w:pPr>
              <w:spacing w:before="120" w:after="120"/>
              <w:jc w:val="left"/>
              <w:rPr>
                <w:rFonts w:asciiTheme="minorHAnsi" w:hAnsiTheme="minorHAnsi" w:cstheme="minorHAnsi"/>
                <w:i/>
                <w:iCs/>
                <w:color w:val="000000"/>
                <w:sz w:val="20"/>
                <w:szCs w:val="20"/>
                <w:lang w:val="en-US"/>
              </w:rPr>
            </w:pPr>
            <w:r>
              <w:rPr>
                <w:rFonts w:asciiTheme="minorHAnsi" w:hAnsiTheme="minorHAnsi" w:cstheme="minorHAnsi"/>
                <w:i/>
                <w:iCs/>
                <w:color w:val="000000"/>
                <w:sz w:val="20"/>
                <w:szCs w:val="20"/>
                <w:lang w:val="en-US"/>
              </w:rPr>
              <w:t>Addressed under the Institutional, Organisational and Human Resources section above.</w:t>
            </w:r>
          </w:p>
        </w:tc>
      </w:tr>
      <w:tr w:rsidR="005A6DBB" w14:paraId="088FFEFC" w14:textId="77777777">
        <w:trPr>
          <w:trHeight w:val="1530"/>
        </w:trPr>
        <w:tc>
          <w:tcPr>
            <w:tcW w:w="0" w:type="auto"/>
            <w:tcBorders>
              <w:top w:val="nil"/>
              <w:left w:val="single" w:sz="8" w:space="0" w:color="FFFFFF"/>
              <w:bottom w:val="nil"/>
              <w:right w:val="single" w:sz="8" w:space="0" w:color="FFFFFF"/>
            </w:tcBorders>
            <w:shd w:val="clear" w:color="000000" w:fill="D4E1ED"/>
          </w:tcPr>
          <w:p w14:paraId="56BFB09D"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Aging infrastructure.</w:t>
            </w:r>
          </w:p>
        </w:tc>
        <w:tc>
          <w:tcPr>
            <w:tcW w:w="0" w:type="auto"/>
            <w:tcBorders>
              <w:top w:val="nil"/>
              <w:left w:val="nil"/>
              <w:bottom w:val="nil"/>
              <w:right w:val="single" w:sz="8" w:space="0" w:color="FFFFFF"/>
            </w:tcBorders>
            <w:shd w:val="clear" w:color="000000" w:fill="D4E1ED"/>
          </w:tcPr>
          <w:p w14:paraId="12E7566C"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 analysis of the Asset Register shows the infrastructure is relatively "new" which does not reflect the status on the ground.</w:t>
            </w:r>
          </w:p>
        </w:tc>
        <w:tc>
          <w:tcPr>
            <w:tcW w:w="0" w:type="auto"/>
            <w:tcBorders>
              <w:top w:val="nil"/>
              <w:left w:val="nil"/>
              <w:bottom w:val="nil"/>
              <w:right w:val="single" w:sz="8" w:space="0" w:color="FFFFFF"/>
            </w:tcBorders>
            <w:shd w:val="clear" w:color="000000" w:fill="D4E1ED"/>
          </w:tcPr>
          <w:p w14:paraId="4FEB297A"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Impacts service delivery and financial reporting (asset register).</w:t>
            </w:r>
          </w:p>
        </w:tc>
        <w:tc>
          <w:tcPr>
            <w:tcW w:w="0" w:type="auto"/>
            <w:tcBorders>
              <w:top w:val="nil"/>
              <w:left w:val="nil"/>
              <w:bottom w:val="nil"/>
              <w:right w:val="single" w:sz="8" w:space="0" w:color="FFFFFF"/>
            </w:tcBorders>
            <w:shd w:val="clear" w:color="000000" w:fill="D4E1ED"/>
          </w:tcPr>
          <w:p w14:paraId="0BA308A9"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 xml:space="preserve">The completion and adoption of the master plans and Asset Management plans will result in projects been identified where aging infrastructure must be replaced. Budgeting and </w:t>
            </w:r>
            <w:proofErr w:type="spellStart"/>
            <w:r>
              <w:rPr>
                <w:rFonts w:asciiTheme="minorHAnsi" w:hAnsiTheme="minorHAnsi" w:cstheme="minorHAnsi"/>
                <w:color w:val="000000"/>
                <w:sz w:val="20"/>
                <w:szCs w:val="20"/>
                <w:lang w:val="en-US"/>
              </w:rPr>
              <w:t>priortisation</w:t>
            </w:r>
            <w:proofErr w:type="spellEnd"/>
            <w:r>
              <w:rPr>
                <w:rFonts w:asciiTheme="minorHAnsi" w:hAnsiTheme="minorHAnsi" w:cstheme="minorHAnsi"/>
                <w:color w:val="000000"/>
                <w:sz w:val="20"/>
                <w:szCs w:val="20"/>
                <w:lang w:val="en-US"/>
              </w:rPr>
              <w:t xml:space="preserve"> can only be done at this stage.</w:t>
            </w:r>
          </w:p>
        </w:tc>
      </w:tr>
      <w:tr w:rsidR="005A6DBB" w14:paraId="0E7F798E" w14:textId="77777777">
        <w:trPr>
          <w:trHeight w:val="510"/>
        </w:trPr>
        <w:tc>
          <w:tcPr>
            <w:tcW w:w="0" w:type="auto"/>
            <w:tcBorders>
              <w:top w:val="nil"/>
              <w:left w:val="single" w:sz="8" w:space="0" w:color="FFFFFF"/>
              <w:bottom w:val="nil"/>
              <w:right w:val="single" w:sz="8" w:space="0" w:color="FFFFFF"/>
            </w:tcBorders>
            <w:shd w:val="clear" w:color="000000" w:fill="D4E1ED"/>
          </w:tcPr>
          <w:p w14:paraId="1735B6E2"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Supply chain and Contractor management issues</w:t>
            </w:r>
          </w:p>
        </w:tc>
        <w:tc>
          <w:tcPr>
            <w:tcW w:w="0" w:type="auto"/>
            <w:gridSpan w:val="3"/>
            <w:tcBorders>
              <w:top w:val="nil"/>
              <w:left w:val="nil"/>
              <w:bottom w:val="nil"/>
              <w:right w:val="single" w:sz="8" w:space="0" w:color="FFFFFF"/>
            </w:tcBorders>
            <w:shd w:val="clear" w:color="000000" w:fill="D4E1ED"/>
          </w:tcPr>
          <w:p w14:paraId="02B5AB76" w14:textId="77777777" w:rsidR="005A6DBB" w:rsidRDefault="00F93099">
            <w:pPr>
              <w:spacing w:before="120" w:after="120"/>
              <w:jc w:val="left"/>
              <w:rPr>
                <w:rFonts w:asciiTheme="minorHAnsi" w:hAnsiTheme="minorHAnsi" w:cstheme="minorHAnsi"/>
                <w:i/>
                <w:iCs/>
                <w:color w:val="000000"/>
                <w:sz w:val="20"/>
                <w:szCs w:val="20"/>
                <w:lang w:val="en-US"/>
              </w:rPr>
            </w:pPr>
            <w:r>
              <w:rPr>
                <w:rFonts w:asciiTheme="minorHAnsi" w:hAnsiTheme="minorHAnsi" w:cstheme="minorHAnsi"/>
                <w:i/>
                <w:iCs/>
                <w:color w:val="000000"/>
                <w:sz w:val="20"/>
                <w:szCs w:val="20"/>
                <w:lang w:val="en-US"/>
              </w:rPr>
              <w:t>Addressed under the Financial Management section above.</w:t>
            </w:r>
          </w:p>
        </w:tc>
      </w:tr>
      <w:tr w:rsidR="005A6DBB" w14:paraId="392C5374" w14:textId="77777777">
        <w:trPr>
          <w:trHeight w:val="2295"/>
        </w:trPr>
        <w:tc>
          <w:tcPr>
            <w:tcW w:w="0" w:type="auto"/>
            <w:tcBorders>
              <w:top w:val="nil"/>
              <w:left w:val="single" w:sz="8" w:space="0" w:color="FFFFFF"/>
              <w:bottom w:val="nil"/>
              <w:right w:val="single" w:sz="8" w:space="0" w:color="FFFFFF"/>
            </w:tcBorders>
            <w:shd w:val="clear" w:color="000000" w:fill="D4E1ED"/>
          </w:tcPr>
          <w:p w14:paraId="4B66EC18"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Asset security</w:t>
            </w:r>
          </w:p>
        </w:tc>
        <w:tc>
          <w:tcPr>
            <w:tcW w:w="0" w:type="auto"/>
            <w:tcBorders>
              <w:top w:val="nil"/>
              <w:left w:val="nil"/>
              <w:bottom w:val="nil"/>
              <w:right w:val="single" w:sz="8" w:space="0" w:color="FFFFFF"/>
            </w:tcBorders>
            <w:shd w:val="clear" w:color="000000" w:fill="D4E1ED"/>
          </w:tcPr>
          <w:p w14:paraId="467C2557"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Theft of vehicle parts has become an everyday occurrence but is not limited only to these assets, substations, water and wastewater treatment plants and buildings are not exempt.</w:t>
            </w:r>
          </w:p>
        </w:tc>
        <w:tc>
          <w:tcPr>
            <w:tcW w:w="0" w:type="auto"/>
            <w:tcBorders>
              <w:top w:val="nil"/>
              <w:left w:val="nil"/>
              <w:bottom w:val="nil"/>
              <w:right w:val="single" w:sz="8" w:space="0" w:color="FFFFFF"/>
            </w:tcBorders>
            <w:shd w:val="clear" w:color="000000" w:fill="D4E1ED"/>
          </w:tcPr>
          <w:p w14:paraId="23B16588"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In most cases, theft results in the inability to continue to provide services in a localised area.  It should be noted that this is not a phenomenon limited to MMM but a national problem.</w:t>
            </w:r>
          </w:p>
        </w:tc>
        <w:tc>
          <w:tcPr>
            <w:tcW w:w="0" w:type="auto"/>
            <w:tcBorders>
              <w:top w:val="nil"/>
              <w:left w:val="nil"/>
              <w:bottom w:val="nil"/>
              <w:right w:val="single" w:sz="8" w:space="0" w:color="FFFFFF"/>
            </w:tcBorders>
            <w:shd w:val="clear" w:color="000000" w:fill="D4E1ED"/>
          </w:tcPr>
          <w:p w14:paraId="6790CD99"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As a national problem, all major service delivery infrastructure should be considered as key points.</w:t>
            </w:r>
            <w:r>
              <w:rPr>
                <w:rFonts w:asciiTheme="minorHAnsi" w:hAnsiTheme="minorHAnsi" w:cstheme="minorHAnsi"/>
                <w:color w:val="000000"/>
                <w:sz w:val="20"/>
                <w:szCs w:val="20"/>
                <w:lang w:val="en-US"/>
              </w:rPr>
              <w:br/>
              <w:t>Considering only MMM, an investment in additional security measures such as access control, perimeter protection, alarms and armed response should be considered and implemented.  This should be augmented by the local security cluster.</w:t>
            </w:r>
          </w:p>
        </w:tc>
      </w:tr>
      <w:tr w:rsidR="005A6DBB" w14:paraId="751A7149" w14:textId="77777777">
        <w:trPr>
          <w:trHeight w:val="300"/>
        </w:trPr>
        <w:tc>
          <w:tcPr>
            <w:tcW w:w="0" w:type="auto"/>
            <w:tcBorders>
              <w:top w:val="nil"/>
              <w:left w:val="single" w:sz="8" w:space="0" w:color="FFFFFF"/>
              <w:bottom w:val="nil"/>
              <w:right w:val="single" w:sz="8" w:space="0" w:color="FFFFFF"/>
            </w:tcBorders>
            <w:shd w:val="clear" w:color="000000" w:fill="D4E1ED"/>
          </w:tcPr>
          <w:p w14:paraId="748A600E"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Bloem Water - Debt and tariff issues</w:t>
            </w:r>
          </w:p>
        </w:tc>
        <w:tc>
          <w:tcPr>
            <w:tcW w:w="0" w:type="auto"/>
            <w:gridSpan w:val="3"/>
            <w:tcBorders>
              <w:top w:val="nil"/>
              <w:left w:val="nil"/>
              <w:bottom w:val="nil"/>
              <w:right w:val="single" w:sz="8" w:space="0" w:color="FFFFFF"/>
            </w:tcBorders>
            <w:shd w:val="clear" w:color="000000" w:fill="D4E1ED"/>
          </w:tcPr>
          <w:p w14:paraId="7B93EDE5" w14:textId="77777777" w:rsidR="005A6DBB" w:rsidRDefault="00F93099">
            <w:pPr>
              <w:spacing w:before="120" w:after="120"/>
              <w:jc w:val="left"/>
              <w:rPr>
                <w:rFonts w:asciiTheme="minorHAnsi" w:hAnsiTheme="minorHAnsi" w:cstheme="minorHAnsi"/>
                <w:i/>
                <w:iCs/>
                <w:color w:val="000000"/>
                <w:sz w:val="20"/>
                <w:szCs w:val="20"/>
                <w:lang w:val="en-US"/>
              </w:rPr>
            </w:pPr>
            <w:r>
              <w:rPr>
                <w:rFonts w:asciiTheme="minorHAnsi" w:hAnsiTheme="minorHAnsi" w:cstheme="minorHAnsi"/>
                <w:i/>
                <w:iCs/>
                <w:color w:val="000000"/>
                <w:sz w:val="20"/>
                <w:szCs w:val="20"/>
                <w:lang w:val="en-US"/>
              </w:rPr>
              <w:t>Addressed under the Financial Management section above.</w:t>
            </w:r>
          </w:p>
        </w:tc>
      </w:tr>
      <w:tr w:rsidR="005A6DBB" w14:paraId="4DC553FD" w14:textId="77777777">
        <w:trPr>
          <w:trHeight w:val="300"/>
        </w:trPr>
        <w:tc>
          <w:tcPr>
            <w:tcW w:w="0" w:type="auto"/>
            <w:tcBorders>
              <w:top w:val="nil"/>
              <w:left w:val="single" w:sz="8" w:space="0" w:color="FFFFFF"/>
              <w:bottom w:val="nil"/>
              <w:right w:val="single" w:sz="8" w:space="0" w:color="FFFFFF"/>
            </w:tcBorders>
            <w:shd w:val="clear" w:color="000000" w:fill="D4E1ED"/>
          </w:tcPr>
          <w:p w14:paraId="1278EA8B"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Staff work ethic (or lack thereof)</w:t>
            </w:r>
          </w:p>
        </w:tc>
        <w:tc>
          <w:tcPr>
            <w:tcW w:w="0" w:type="auto"/>
            <w:gridSpan w:val="3"/>
            <w:tcBorders>
              <w:top w:val="nil"/>
              <w:left w:val="nil"/>
              <w:bottom w:val="nil"/>
              <w:right w:val="single" w:sz="8" w:space="0" w:color="FFFFFF"/>
            </w:tcBorders>
            <w:shd w:val="clear" w:color="000000" w:fill="D4E1ED"/>
          </w:tcPr>
          <w:p w14:paraId="43CA9510" w14:textId="77777777" w:rsidR="005A6DBB" w:rsidRDefault="00F93099">
            <w:pPr>
              <w:spacing w:before="120" w:after="120"/>
              <w:jc w:val="left"/>
              <w:rPr>
                <w:rFonts w:asciiTheme="minorHAnsi" w:hAnsiTheme="minorHAnsi" w:cstheme="minorHAnsi"/>
                <w:i/>
                <w:iCs/>
                <w:color w:val="000000"/>
                <w:sz w:val="20"/>
                <w:szCs w:val="20"/>
                <w:lang w:val="en-US"/>
              </w:rPr>
            </w:pPr>
            <w:r>
              <w:rPr>
                <w:rFonts w:asciiTheme="minorHAnsi" w:hAnsiTheme="minorHAnsi" w:cstheme="minorHAnsi"/>
                <w:i/>
                <w:iCs/>
                <w:color w:val="000000"/>
                <w:sz w:val="20"/>
                <w:szCs w:val="20"/>
                <w:lang w:val="en-US"/>
              </w:rPr>
              <w:t>Addressed under the Institutional, Organisational and Human Resources section above.</w:t>
            </w:r>
          </w:p>
        </w:tc>
      </w:tr>
      <w:tr w:rsidR="005A6DBB" w14:paraId="5ECEA498" w14:textId="77777777">
        <w:trPr>
          <w:trHeight w:val="300"/>
        </w:trPr>
        <w:tc>
          <w:tcPr>
            <w:tcW w:w="0" w:type="auto"/>
            <w:tcBorders>
              <w:top w:val="nil"/>
              <w:left w:val="single" w:sz="8" w:space="0" w:color="FFFFFF"/>
              <w:bottom w:val="nil"/>
              <w:right w:val="single" w:sz="8" w:space="0" w:color="FFFFFF"/>
            </w:tcBorders>
            <w:shd w:val="clear" w:color="000000" w:fill="D4E1ED"/>
          </w:tcPr>
          <w:p w14:paraId="2633EE33"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Overtime</w:t>
            </w:r>
          </w:p>
        </w:tc>
        <w:tc>
          <w:tcPr>
            <w:tcW w:w="0" w:type="auto"/>
            <w:gridSpan w:val="3"/>
            <w:tcBorders>
              <w:top w:val="nil"/>
              <w:left w:val="nil"/>
              <w:bottom w:val="nil"/>
              <w:right w:val="single" w:sz="8" w:space="0" w:color="FFFFFF"/>
            </w:tcBorders>
            <w:shd w:val="clear" w:color="000000" w:fill="D4E1ED"/>
          </w:tcPr>
          <w:p w14:paraId="3145D379" w14:textId="77777777" w:rsidR="005A6DBB" w:rsidRDefault="00F93099">
            <w:pPr>
              <w:spacing w:before="120" w:after="120"/>
              <w:jc w:val="left"/>
              <w:rPr>
                <w:rFonts w:asciiTheme="minorHAnsi" w:hAnsiTheme="minorHAnsi" w:cstheme="minorHAnsi"/>
                <w:i/>
                <w:iCs/>
                <w:color w:val="000000"/>
                <w:sz w:val="20"/>
                <w:szCs w:val="20"/>
                <w:lang w:val="en-US"/>
              </w:rPr>
            </w:pPr>
            <w:r>
              <w:rPr>
                <w:rFonts w:asciiTheme="minorHAnsi" w:hAnsiTheme="minorHAnsi" w:cstheme="minorHAnsi"/>
                <w:i/>
                <w:iCs/>
                <w:color w:val="000000"/>
                <w:sz w:val="20"/>
                <w:szCs w:val="20"/>
                <w:lang w:val="en-US"/>
              </w:rPr>
              <w:t>Addressed under the Financial Management section above.</w:t>
            </w:r>
          </w:p>
        </w:tc>
      </w:tr>
      <w:tr w:rsidR="005A6DBB" w14:paraId="1E74C19F" w14:textId="77777777">
        <w:trPr>
          <w:trHeight w:val="1785"/>
        </w:trPr>
        <w:tc>
          <w:tcPr>
            <w:tcW w:w="0" w:type="auto"/>
            <w:tcBorders>
              <w:top w:val="nil"/>
              <w:left w:val="single" w:sz="8" w:space="0" w:color="FFFFFF"/>
              <w:bottom w:val="nil"/>
              <w:right w:val="single" w:sz="8" w:space="0" w:color="FFFFFF"/>
            </w:tcBorders>
            <w:shd w:val="clear" w:color="000000" w:fill="D4E1ED"/>
          </w:tcPr>
          <w:p w14:paraId="388D3AAE" w14:textId="77777777" w:rsidR="005A6DBB" w:rsidRDefault="00F93099">
            <w:pPr>
              <w:spacing w:before="120" w:after="120"/>
              <w:jc w:val="left"/>
              <w:rPr>
                <w:rFonts w:asciiTheme="minorHAnsi" w:hAnsiTheme="minorHAnsi" w:cstheme="minorHAnsi"/>
                <w:b/>
                <w:bCs/>
                <w:color w:val="000000"/>
                <w:sz w:val="20"/>
                <w:szCs w:val="20"/>
                <w:lang w:val="en-US"/>
              </w:rPr>
            </w:pPr>
            <w:r>
              <w:rPr>
                <w:rFonts w:asciiTheme="minorHAnsi" w:hAnsiTheme="minorHAnsi" w:cstheme="minorHAnsi"/>
                <w:b/>
                <w:bCs/>
                <w:color w:val="000000"/>
                <w:sz w:val="20"/>
                <w:szCs w:val="20"/>
                <w:lang w:val="en-US"/>
              </w:rPr>
              <w:t>Fleet (Lack of and theft/vandalism)</w:t>
            </w:r>
          </w:p>
        </w:tc>
        <w:tc>
          <w:tcPr>
            <w:tcW w:w="0" w:type="auto"/>
            <w:tcBorders>
              <w:top w:val="nil"/>
              <w:left w:val="nil"/>
              <w:bottom w:val="nil"/>
              <w:right w:val="single" w:sz="8" w:space="0" w:color="FFFFFF"/>
            </w:tcBorders>
            <w:shd w:val="clear" w:color="000000" w:fill="D4E1ED"/>
          </w:tcPr>
          <w:p w14:paraId="1D10E86D"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Theft and Vandalism has been addressed above under Asset Security.</w:t>
            </w:r>
            <w:r>
              <w:rPr>
                <w:rFonts w:asciiTheme="minorHAnsi" w:hAnsiTheme="minorHAnsi" w:cstheme="minorHAnsi"/>
                <w:color w:val="000000"/>
                <w:sz w:val="20"/>
                <w:szCs w:val="20"/>
                <w:lang w:val="en-US"/>
              </w:rPr>
              <w:br/>
              <w:t>Fleet is un-operational and ineffective.  It was reported on the day of the workshop that only 2 vehicles were operational, the rest were broken or waiting for repairs that could only occur once budget was available.</w:t>
            </w:r>
          </w:p>
        </w:tc>
        <w:tc>
          <w:tcPr>
            <w:tcW w:w="0" w:type="auto"/>
            <w:tcBorders>
              <w:top w:val="nil"/>
              <w:left w:val="nil"/>
              <w:bottom w:val="nil"/>
              <w:right w:val="single" w:sz="8" w:space="0" w:color="FFFFFF"/>
            </w:tcBorders>
            <w:shd w:val="clear" w:color="000000" w:fill="D4E1ED"/>
          </w:tcPr>
          <w:p w14:paraId="2CB14E74" w14:textId="77777777" w:rsidR="005A6DBB" w:rsidRDefault="00F93099">
            <w:pPr>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Poor service delivery</w:t>
            </w:r>
            <w:r>
              <w:rPr>
                <w:rFonts w:asciiTheme="minorHAnsi" w:hAnsiTheme="minorHAnsi" w:cstheme="minorHAnsi"/>
                <w:color w:val="000000"/>
                <w:sz w:val="20"/>
                <w:szCs w:val="20"/>
                <w:lang w:val="en-US"/>
              </w:rPr>
              <w:br/>
              <w:t>Increased operational costs due to the use of contractors.</w:t>
            </w:r>
          </w:p>
        </w:tc>
        <w:tc>
          <w:tcPr>
            <w:tcW w:w="0" w:type="auto"/>
            <w:tcBorders>
              <w:top w:val="nil"/>
              <w:left w:val="nil"/>
              <w:bottom w:val="nil"/>
              <w:right w:val="single" w:sz="8" w:space="0" w:color="FFFFFF"/>
            </w:tcBorders>
            <w:shd w:val="clear" w:color="000000" w:fill="D4E1ED"/>
          </w:tcPr>
          <w:p w14:paraId="291B7C1A" w14:textId="77777777" w:rsidR="005A6DBB" w:rsidRDefault="00F93099">
            <w:pPr>
              <w:keepNext/>
              <w:spacing w:before="120" w:after="120"/>
              <w:jc w:val="left"/>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A cost benefit analysis study needs to be done to determine if this service should be provided internally, externally (contractors) or a combination of both.</w:t>
            </w:r>
          </w:p>
        </w:tc>
      </w:tr>
    </w:tbl>
    <w:p w14:paraId="0034B1E1" w14:textId="0F310279" w:rsidR="005A6DBB" w:rsidRDefault="00F93099">
      <w:pPr>
        <w:pStyle w:val="Caption"/>
        <w:rPr>
          <w:rFonts w:asciiTheme="minorHAnsi" w:hAnsiTheme="minorHAnsi" w:cstheme="minorHAnsi"/>
          <w:sz w:val="22"/>
          <w:szCs w:val="22"/>
          <w:lang w:val="en-US"/>
        </w:rPr>
      </w:pPr>
      <w:r>
        <w:t xml:space="preserve">Table </w:t>
      </w:r>
      <w:r>
        <w:fldChar w:fldCharType="begin"/>
      </w:r>
      <w:r>
        <w:instrText xml:space="preserve"> SEQ Table \* ARABIC </w:instrText>
      </w:r>
      <w:r>
        <w:fldChar w:fldCharType="separate"/>
      </w:r>
      <w:r w:rsidR="00A564BE">
        <w:rPr>
          <w:noProof/>
        </w:rPr>
        <w:t>28</w:t>
      </w:r>
      <w:r>
        <w:fldChar w:fldCharType="end"/>
      </w:r>
      <w:r>
        <w:t xml:space="preserve"> - Workshop Consultation Outcomes</w:t>
      </w:r>
    </w:p>
    <w:p w14:paraId="0098B24D" w14:textId="77777777" w:rsidR="005A6DBB" w:rsidRDefault="00F93099">
      <w:pPr>
        <w:keepNext/>
        <w:numPr>
          <w:ilvl w:val="2"/>
          <w:numId w:val="1"/>
        </w:numPr>
        <w:pBdr>
          <w:top w:val="dotted" w:sz="8" w:space="1" w:color="002060"/>
          <w:left w:val="dotted" w:sz="8" w:space="4" w:color="002060"/>
          <w:bottom w:val="dotted" w:sz="8" w:space="1" w:color="002060"/>
        </w:pBdr>
        <w:spacing w:before="120" w:after="120"/>
        <w:ind w:left="567" w:right="57" w:hanging="578"/>
        <w:outlineLvl w:val="2"/>
        <w:rPr>
          <w:rFonts w:cs="Arial"/>
          <w:b/>
          <w:szCs w:val="26"/>
        </w:rPr>
      </w:pPr>
      <w:bookmarkStart w:id="80" w:name="_Toc132362454"/>
      <w:bookmarkStart w:id="81" w:name="_Toc137732233"/>
      <w:r>
        <w:rPr>
          <w:rFonts w:cs="Arial"/>
          <w:b/>
        </w:rPr>
        <w:t>SUMMARY AND CONCLUSIONS</w:t>
      </w:r>
      <w:bookmarkEnd w:id="80"/>
      <w:bookmarkEnd w:id="81"/>
    </w:p>
    <w:p w14:paraId="7CFCD1DE" w14:textId="77777777" w:rsidR="005A6DBB" w:rsidRDefault="00F93099">
      <w:pPr>
        <w:spacing w:before="120" w:after="120"/>
        <w:rPr>
          <w:lang w:val="en-US"/>
        </w:rPr>
      </w:pPr>
      <w:r>
        <w:rPr>
          <w:lang w:val="en-US"/>
        </w:rPr>
        <w:t>The current findings suggest that the financial surplus generated by infrastructure-related service delivery will not significantly contribute to the Municipality's financial sustainability.  To improve its financial position, the Municipality must undertake two parallel initiatives.</w:t>
      </w:r>
    </w:p>
    <w:p w14:paraId="0A0C2C12" w14:textId="77777777" w:rsidR="005A6DBB" w:rsidRDefault="00F93099">
      <w:pPr>
        <w:spacing w:before="120" w:after="120"/>
        <w:rPr>
          <w:lang w:val="en-US"/>
        </w:rPr>
      </w:pPr>
      <w:r>
        <w:rPr>
          <w:b/>
          <w:bCs/>
          <w:lang w:val="en-US"/>
        </w:rPr>
        <w:t>Initiative 1</w:t>
      </w:r>
      <w:r>
        <w:rPr>
          <w:lang w:val="en-US"/>
        </w:rPr>
        <w:t xml:space="preserve"> involves increasing revenue generation through various proposed measures which includes:</w:t>
      </w:r>
    </w:p>
    <w:p w14:paraId="10037580"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Concluding on cost reflective tariffs with Bloem Water;</w:t>
      </w:r>
    </w:p>
    <w:p w14:paraId="6FBF637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Institute water recovery project at waste water treatment works;</w:t>
      </w:r>
    </w:p>
    <w:p w14:paraId="1C59019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Amalgamating CENTLEC into the Municipality;</w:t>
      </w:r>
    </w:p>
    <w:p w14:paraId="1D9EBA7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Investigate the viability of using the current meter management systems or the procurement of a new system;</w:t>
      </w:r>
    </w:p>
    <w:p w14:paraId="6D648BC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Enhance revenue by embarking on a revenue enhancement project including a meter audit, indigent register and validation and updating of the customer database;</w:t>
      </w:r>
    </w:p>
    <w:p w14:paraId="45530046"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proofErr w:type="spellStart"/>
      <w:r>
        <w:rPr>
          <w:rFonts w:asciiTheme="minorHAnsi" w:hAnsiTheme="minorHAnsi" w:cstheme="minorBidi"/>
          <w:sz w:val="22"/>
          <w:szCs w:val="22"/>
          <w:lang w:val="en-US"/>
        </w:rPr>
        <w:t>Institutionalise</w:t>
      </w:r>
      <w:proofErr w:type="spellEnd"/>
      <w:r>
        <w:rPr>
          <w:rFonts w:asciiTheme="minorHAnsi" w:hAnsiTheme="minorHAnsi" w:cstheme="minorBidi"/>
          <w:sz w:val="22"/>
          <w:szCs w:val="22"/>
          <w:lang w:val="en-US"/>
        </w:rPr>
        <w:t xml:space="preserve"> waste recovery and recycling initiatives;</w:t>
      </w:r>
    </w:p>
    <w:p w14:paraId="1C3E5313" w14:textId="77777777" w:rsidR="005A6DBB" w:rsidRDefault="00F93099">
      <w:pPr>
        <w:spacing w:before="120" w:after="120"/>
        <w:rPr>
          <w:lang w:val="en-US"/>
        </w:rPr>
      </w:pPr>
      <w:r>
        <w:rPr>
          <w:b/>
          <w:bCs/>
          <w:lang w:val="en-US"/>
        </w:rPr>
        <w:t>Initiative 2</w:t>
      </w:r>
      <w:r>
        <w:rPr>
          <w:lang w:val="en-US"/>
        </w:rPr>
        <w:t xml:space="preserve"> involves implementing lean six sigma principles into the </w:t>
      </w:r>
      <w:proofErr w:type="spellStart"/>
      <w:r>
        <w:rPr>
          <w:lang w:val="en-US"/>
        </w:rPr>
        <w:t>organisation's</w:t>
      </w:r>
      <w:proofErr w:type="spellEnd"/>
      <w:r>
        <w:rPr>
          <w:lang w:val="en-US"/>
        </w:rPr>
        <w:t xml:space="preserve"> business processes and KPA’s and KPIs.  Lean six sigma is a focused managerial approach that seeks to improve performance by eliminating processes and resources that do not create value for the resident in the Municipality.</w:t>
      </w:r>
    </w:p>
    <w:p w14:paraId="1E05CAFC" w14:textId="77777777" w:rsidR="005A6DBB" w:rsidRDefault="00F93099">
      <w:pPr>
        <w:spacing w:before="120" w:after="120"/>
        <w:rPr>
          <w:lang w:val="en-US"/>
        </w:rPr>
      </w:pPr>
      <w:r>
        <w:rPr>
          <w:lang w:val="en-US"/>
        </w:rPr>
        <w:t>The following specific applications are proposed for consideration:</w:t>
      </w:r>
    </w:p>
    <w:p w14:paraId="5F48D92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Streamlining current business processes;</w:t>
      </w:r>
    </w:p>
    <w:p w14:paraId="08C04C9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Identifying redundant positions and removing from the organogram;</w:t>
      </w:r>
    </w:p>
    <w:p w14:paraId="5447345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Rewriting KPA’s and KPI’s in accordance to lean sigma reporting principles;</w:t>
      </w:r>
    </w:p>
    <w:p w14:paraId="4AB0C91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Managing time and attendance; and</w:t>
      </w:r>
    </w:p>
    <w:p w14:paraId="7B20955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Ensuring outputs are measurable.</w:t>
      </w:r>
    </w:p>
    <w:p w14:paraId="2C0DCD60" w14:textId="77777777" w:rsidR="005A6DBB" w:rsidRDefault="00F93099">
      <w:pPr>
        <w:spacing w:before="120" w:after="120"/>
        <w:rPr>
          <w:lang w:val="en-US"/>
        </w:rPr>
      </w:pPr>
      <w:r>
        <w:rPr>
          <w:lang w:val="en-US"/>
        </w:rPr>
        <w:t xml:space="preserve">The above can only be achieved by “resetting” the Municipality which implies a section 189 process of the </w:t>
      </w:r>
      <w:proofErr w:type="spellStart"/>
      <w:r>
        <w:rPr>
          <w:lang w:val="en-US"/>
        </w:rPr>
        <w:t>Labour</w:t>
      </w:r>
      <w:proofErr w:type="spellEnd"/>
      <w:r>
        <w:rPr>
          <w:lang w:val="en-US"/>
        </w:rPr>
        <w:t xml:space="preserve"> Relations Act must unfold.</w:t>
      </w:r>
    </w:p>
    <w:p w14:paraId="7E660E26" w14:textId="77777777" w:rsidR="005A6DBB" w:rsidRDefault="005A6DBB">
      <w:pPr>
        <w:pStyle w:val="Caption"/>
        <w:sectPr w:rsidR="005A6DBB">
          <w:headerReference w:type="default" r:id="rId49"/>
          <w:footerReference w:type="default" r:id="rId50"/>
          <w:headerReference w:type="first" r:id="rId51"/>
          <w:footerReference w:type="first" r:id="rId52"/>
          <w:pgSz w:w="11906" w:h="16838"/>
          <w:pgMar w:top="1418" w:right="1276" w:bottom="1418" w:left="1418" w:header="850" w:footer="0" w:gutter="0"/>
          <w:cols w:space="720"/>
          <w:titlePg/>
          <w:docGrid w:linePitch="360"/>
        </w:sectPr>
      </w:pPr>
    </w:p>
    <w:p w14:paraId="2C39BE58" w14:textId="77777777" w:rsidR="005A6DBB" w:rsidRDefault="00F93099">
      <w:pPr>
        <w:pStyle w:val="Heading1"/>
        <w:numPr>
          <w:ilvl w:val="0"/>
          <w:numId w:val="1"/>
        </w:numPr>
        <w:spacing w:before="120" w:after="120" w:line="360" w:lineRule="auto"/>
        <w:ind w:left="709" w:right="147" w:hanging="567"/>
      </w:pPr>
      <w:bookmarkStart w:id="82" w:name="_Toc137732234"/>
      <w:r>
        <w:t>PART THREE – IMPLEMENTATION PHASES</w:t>
      </w:r>
      <w:bookmarkEnd w:id="82"/>
    </w:p>
    <w:p w14:paraId="3E47F73B" w14:textId="77777777" w:rsidR="005A6DBB" w:rsidRDefault="00F93099">
      <w:pPr>
        <w:spacing w:before="120" w:after="120"/>
      </w:pPr>
      <w:r>
        <w:t>The first part of the financial recovery process is to conduct a status quo assessment on the current state of affairs of the Municipality.  This was conducted and concluded in this document as per the methodology outlined coupled with further consultations and analysis.</w:t>
      </w:r>
    </w:p>
    <w:p w14:paraId="69E4744A" w14:textId="77777777" w:rsidR="005A6DBB" w:rsidRDefault="00F93099">
      <w:pPr>
        <w:spacing w:before="120" w:after="120"/>
      </w:pPr>
      <w:r>
        <w:t>The next step is the development of key strategies specific to the Municipalities financial recovery needs based on the outcomes of the status quo assessment.  These strategies will be modelled to assess whether the desired financial impact will be achieved.</w:t>
      </w:r>
    </w:p>
    <w:p w14:paraId="7C4E1D43" w14:textId="77777777" w:rsidR="005A6DBB" w:rsidRDefault="00F93099">
      <w:pPr>
        <w:spacing w:before="120" w:after="120"/>
      </w:pPr>
      <w:r>
        <w:t xml:space="preserve">The Pareto principle states that for many outcomes, roughly 80% of consequences come from 20% of causes.  In other words, a small percentage of causes have an outsized effect.  This is important to identify which initiatives to prioritise to make the most impact, and the strategy development and approach should be based on this principle.  </w:t>
      </w:r>
    </w:p>
    <w:p w14:paraId="5BC58022" w14:textId="77777777" w:rsidR="005A6DBB" w:rsidRDefault="00F93099">
      <w:pPr>
        <w:spacing w:before="120" w:after="120"/>
      </w:pPr>
      <w:r>
        <w:t xml:space="preserve">The strategies will be developed based on three phases, namely </w:t>
      </w:r>
      <w:r>
        <w:rPr>
          <w:b/>
          <w:bCs/>
        </w:rPr>
        <w:t>Rescue, Stabilisation and Sustainability</w:t>
      </w:r>
      <w:r>
        <w:t>, more details of each phase are set out below.</w:t>
      </w:r>
    </w:p>
    <w:p w14:paraId="42D18EAA" w14:textId="77777777" w:rsidR="005A6DBB" w:rsidRDefault="00F93099">
      <w:pPr>
        <w:pStyle w:val="Heading2"/>
      </w:pPr>
      <w:bookmarkStart w:id="83" w:name="_Toc132880255"/>
      <w:bookmarkStart w:id="84" w:name="_Toc132788236"/>
      <w:bookmarkStart w:id="85" w:name="_Toc137732235"/>
      <w:bookmarkEnd w:id="83"/>
      <w:bookmarkEnd w:id="84"/>
      <w:r>
        <w:t>RESCUE PHASE (6 -12 MONTHS)</w:t>
      </w:r>
      <w:bookmarkEnd w:id="85"/>
    </w:p>
    <w:p w14:paraId="7C5AE253" w14:textId="77777777" w:rsidR="005A6DBB" w:rsidRDefault="00F93099">
      <w:pPr>
        <w:spacing w:before="120" w:after="120"/>
      </w:pPr>
      <w:r>
        <w:t>The rescue phase is the first of three phases in the implementation process and focuses on the most critical aspects of rescuing the municipality from its immediate and most pressing challenges.  Given that this intervention has been invoked as a result of a crisis in the financial affairs of the municipality, in the short term, emphasis is placed on improving the short-term liquidity of the municipality while restoring the basic principles of sound financial management.  However, this phase also addresses the quick wins identified within governance, institutional and service delivery pillars.</w:t>
      </w:r>
    </w:p>
    <w:p w14:paraId="45A990CC" w14:textId="77777777" w:rsidR="005A6DBB" w:rsidRDefault="00F93099">
      <w:pPr>
        <w:spacing w:before="120" w:after="120"/>
      </w:pPr>
      <w:r>
        <w:t xml:space="preserve">The municipality will need to ensure that resources are made available to implement the strategies recommended in the rescue phase as this will form the base for the stabilisation and sustainability phases that follow to be implemented successfully. </w:t>
      </w:r>
    </w:p>
    <w:p w14:paraId="1524CBB0" w14:textId="77777777" w:rsidR="005A6DBB" w:rsidRDefault="00F93099">
      <w:pPr>
        <w:pStyle w:val="Heading2"/>
      </w:pPr>
      <w:bookmarkStart w:id="86" w:name="_Toc132788269"/>
      <w:bookmarkStart w:id="87" w:name="_Toc132880325"/>
      <w:bookmarkStart w:id="88" w:name="_Toc132788276"/>
      <w:bookmarkStart w:id="89" w:name="_Toc132880301"/>
      <w:bookmarkStart w:id="90" w:name="_Toc132788253"/>
      <w:bookmarkStart w:id="91" w:name="_Toc132880263"/>
      <w:bookmarkStart w:id="92" w:name="_Toc132880295"/>
      <w:bookmarkStart w:id="93" w:name="_Toc132788262"/>
      <w:bookmarkStart w:id="94" w:name="_Toc132788244"/>
      <w:bookmarkStart w:id="95" w:name="_Toc132880281"/>
      <w:bookmarkStart w:id="96" w:name="_Toc132880272"/>
      <w:bookmarkStart w:id="97" w:name="_Toc132880340"/>
      <w:bookmarkStart w:id="98" w:name="_Toc132788313"/>
      <w:bookmarkStart w:id="99" w:name="_Toc132880288"/>
      <w:bookmarkStart w:id="100" w:name="_Toc132788282"/>
      <w:bookmarkStart w:id="101" w:name="_Toc132880307"/>
      <w:bookmarkStart w:id="102" w:name="_Toc132880317"/>
      <w:bookmarkStart w:id="103" w:name="_Toc132788306"/>
      <w:bookmarkStart w:id="104" w:name="_Toc132788288"/>
      <w:bookmarkStart w:id="105" w:name="_Toc132788321"/>
      <w:bookmarkStart w:id="106" w:name="_Toc132788327"/>
      <w:bookmarkStart w:id="107" w:name="_Toc132788298"/>
      <w:bookmarkStart w:id="108" w:name="_Toc132880346"/>
      <w:bookmarkStart w:id="109" w:name="_Toc132880332"/>
      <w:bookmarkStart w:id="110" w:name="_Toc13773223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t>STABILISATION PHASE (13-24 MONTHS)</w:t>
      </w:r>
      <w:bookmarkEnd w:id="110"/>
      <w:r>
        <w:t xml:space="preserve"> </w:t>
      </w:r>
    </w:p>
    <w:p w14:paraId="3FA6CFCB" w14:textId="77777777" w:rsidR="005A6DBB" w:rsidRDefault="00F93099">
      <w:pPr>
        <w:spacing w:before="120" w:after="120"/>
      </w:pPr>
      <w:r>
        <w:t xml:space="preserve">The stabilisation phase is the second of three phases in the implementation process and focuses on areas that are depleting the Municipality’s financial resources while taking a deeper focus on governance, service delivery and institutional pillars.  The aim in this phase is to institutionalise the achievements of phase one, improve the longer-term liquidity of the Municipality and initiate the processes required to return the municipality to a sustainable and viable position.  </w:t>
      </w:r>
    </w:p>
    <w:p w14:paraId="7D7E62B4" w14:textId="77777777" w:rsidR="005A6DBB" w:rsidRDefault="00F93099">
      <w:pPr>
        <w:pStyle w:val="Heading2"/>
      </w:pPr>
      <w:bookmarkStart w:id="111" w:name="_Toc132880426"/>
      <w:bookmarkStart w:id="112" w:name="_Toc132788388"/>
      <w:bookmarkStart w:id="113" w:name="_Toc132880468"/>
      <w:bookmarkStart w:id="114" w:name="_Toc132880436"/>
      <w:bookmarkStart w:id="115" w:name="_Toc132788417"/>
      <w:bookmarkStart w:id="116" w:name="_Toc132880477"/>
      <w:bookmarkStart w:id="117" w:name="_Toc132788373"/>
      <w:bookmarkStart w:id="118" w:name="_Toc132880392"/>
      <w:bookmarkStart w:id="119" w:name="_Toc132880398"/>
      <w:bookmarkStart w:id="120" w:name="_Toc132788407"/>
      <w:bookmarkStart w:id="121" w:name="_Toc132788379"/>
      <w:bookmarkStart w:id="122" w:name="_Toc132788398"/>
      <w:bookmarkStart w:id="123" w:name="_Toc131672460"/>
      <w:bookmarkStart w:id="124" w:name="_Toc132880407"/>
      <w:bookmarkStart w:id="125" w:name="_Toc132788458"/>
      <w:bookmarkStart w:id="126" w:name="_Toc132880444"/>
      <w:bookmarkStart w:id="127" w:name="_Toc132788433"/>
      <w:bookmarkStart w:id="128" w:name="_Toc132880459"/>
      <w:bookmarkStart w:id="129" w:name="_Toc132880485"/>
      <w:bookmarkStart w:id="130" w:name="_Toc131672524"/>
      <w:bookmarkStart w:id="131" w:name="_Toc131672462"/>
      <w:bookmarkStart w:id="132" w:name="_Toc132788440"/>
      <w:bookmarkStart w:id="133" w:name="_Toc132880452"/>
      <w:bookmarkStart w:id="134" w:name="_Toc132788466"/>
      <w:bookmarkStart w:id="135" w:name="_Toc131672525"/>
      <w:bookmarkStart w:id="136" w:name="_Toc132788425"/>
      <w:bookmarkStart w:id="137" w:name="_Toc132880417"/>
      <w:bookmarkStart w:id="138" w:name="_Toc132788449"/>
      <w:bookmarkStart w:id="139" w:name="_Toc131672461"/>
      <w:bookmarkStart w:id="140" w:name="_Toc131672523"/>
      <w:bookmarkStart w:id="141" w:name="_Toc137732237"/>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SUSTAINABILITY PHASE (FROM 25 MONTHS ONWARDS)</w:t>
      </w:r>
      <w:bookmarkEnd w:id="141"/>
      <w:r>
        <w:t xml:space="preserve"> </w:t>
      </w:r>
    </w:p>
    <w:p w14:paraId="749D89ED" w14:textId="77777777" w:rsidR="005A6DBB" w:rsidRDefault="00F93099">
      <w:pPr>
        <w:spacing w:before="120" w:after="120"/>
      </w:pPr>
      <w:r>
        <w:t>The sustainability phase is the last of the three phases in the implementation process and focuses on building on institutionalising the efforts of phases one and two in order to prevent a regression in performance and ensure that the municipality is able to continue as a going concern in sustainable and viable manner.  The aim in this phase is to improve the long-term financing strategy, implement revenue enhancement and maximisation strategies, improve efficiencies in service delivery through innovative and technological solutions and so on.  The successful implementation of this phase will therefore pave the road for the Municipality to build and develop its sustainability in the long term.</w:t>
      </w:r>
    </w:p>
    <w:p w14:paraId="5AC130B9" w14:textId="5568F218" w:rsidR="005A6DBB" w:rsidRDefault="00FA39E3">
      <w:pPr>
        <w:keepNext/>
        <w:spacing w:before="120" w:after="120"/>
      </w:pPr>
      <w:r w:rsidRPr="00FA39E3">
        <w:rPr>
          <w:noProof/>
        </w:rPr>
        <w:drawing>
          <wp:inline distT="0" distB="0" distL="0" distR="0" wp14:anchorId="361C7822" wp14:editId="5B065C06">
            <wp:extent cx="5227320" cy="2857500"/>
            <wp:effectExtent l="0" t="0" r="0" b="0"/>
            <wp:docPr id="180052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6980" name=""/>
                    <pic:cNvPicPr/>
                  </pic:nvPicPr>
                  <pic:blipFill>
                    <a:blip r:embed="rId53"/>
                    <a:stretch>
                      <a:fillRect/>
                    </a:stretch>
                  </pic:blipFill>
                  <pic:spPr>
                    <a:xfrm>
                      <a:off x="0" y="0"/>
                      <a:ext cx="5227782" cy="2857753"/>
                    </a:xfrm>
                    <a:prstGeom prst="rect">
                      <a:avLst/>
                    </a:prstGeom>
                  </pic:spPr>
                </pic:pic>
              </a:graphicData>
            </a:graphic>
          </wp:inline>
        </w:drawing>
      </w:r>
    </w:p>
    <w:p w14:paraId="40770B23" w14:textId="5F4A4F5E" w:rsidR="005A6DBB" w:rsidRDefault="00F93099">
      <w:pPr>
        <w:pStyle w:val="Caption"/>
      </w:pPr>
      <w:r>
        <w:t xml:space="preserve">Figure </w:t>
      </w:r>
      <w:r>
        <w:fldChar w:fldCharType="begin"/>
      </w:r>
      <w:r>
        <w:instrText xml:space="preserve"> SEQ Figure \* ARABIC </w:instrText>
      </w:r>
      <w:r>
        <w:fldChar w:fldCharType="separate"/>
      </w:r>
      <w:r w:rsidR="00A564BE">
        <w:rPr>
          <w:noProof/>
        </w:rPr>
        <w:t>7</w:t>
      </w:r>
      <w:r>
        <w:fldChar w:fldCharType="end"/>
      </w:r>
      <w:r>
        <w:t xml:space="preserve"> - FRP Development Phases</w:t>
      </w:r>
    </w:p>
    <w:p w14:paraId="31F32711" w14:textId="77777777" w:rsidR="005A6DBB" w:rsidRDefault="005A6DBB"/>
    <w:p w14:paraId="58517D9D" w14:textId="77777777" w:rsidR="005A6DBB" w:rsidRDefault="005A6DBB">
      <w:pPr>
        <w:pStyle w:val="Heading1"/>
        <w:numPr>
          <w:ilvl w:val="0"/>
          <w:numId w:val="1"/>
        </w:numPr>
        <w:pBdr>
          <w:left w:val="single" w:sz="18" w:space="2" w:color="002060"/>
        </w:pBdr>
        <w:spacing w:before="120" w:after="120" w:line="360" w:lineRule="auto"/>
        <w:ind w:left="102" w:right="153" w:firstLine="0"/>
        <w:rPr>
          <w:rFonts w:asciiTheme="minorHAnsi" w:hAnsiTheme="minorHAnsi"/>
        </w:rPr>
        <w:sectPr w:rsidR="005A6DBB">
          <w:headerReference w:type="default" r:id="rId54"/>
          <w:footerReference w:type="default" r:id="rId55"/>
          <w:headerReference w:type="first" r:id="rId56"/>
          <w:footerReference w:type="first" r:id="rId57"/>
          <w:pgSz w:w="11906" w:h="16838"/>
          <w:pgMar w:top="1418" w:right="1276" w:bottom="1418" w:left="1418" w:header="850" w:footer="0" w:gutter="0"/>
          <w:cols w:space="720"/>
          <w:titlePg/>
          <w:docGrid w:linePitch="360"/>
        </w:sectPr>
      </w:pPr>
      <w:bookmarkStart w:id="142" w:name="_Toc311705852"/>
    </w:p>
    <w:p w14:paraId="494CCE4B" w14:textId="77777777" w:rsidR="005A6DBB" w:rsidRDefault="00F93099">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43" w:name="_Toc137732238"/>
      <w:r>
        <w:rPr>
          <w:rFonts w:asciiTheme="minorHAnsi" w:hAnsiTheme="minorHAnsi"/>
        </w:rPr>
        <w:t>PART FOUR – REPORTING FRAMEWORK</w:t>
      </w:r>
      <w:bookmarkEnd w:id="143"/>
    </w:p>
    <w:p w14:paraId="2293006B" w14:textId="77777777" w:rsidR="005A6DBB" w:rsidRDefault="00F93099">
      <w:pPr>
        <w:pStyle w:val="Heading2"/>
      </w:pPr>
      <w:bookmarkStart w:id="144" w:name="_Toc137732239"/>
      <w:bookmarkEnd w:id="142"/>
      <w:r>
        <w:t>REPORTING FRAMEWORK</w:t>
      </w:r>
      <w:bookmarkEnd w:id="144"/>
      <w:r>
        <w:t xml:space="preserve"> </w:t>
      </w:r>
    </w:p>
    <w:p w14:paraId="7C83D54B" w14:textId="77777777" w:rsidR="005A6DBB" w:rsidRDefault="00F93099">
      <w:r>
        <w:t>In order for the implementation of the FRP to be successful, monitoring and review of the plan against targets and updates, where required is critical.  The internal reporting structure for the purposes of the FRP will be guided by the Municipal Executive Committee.</w:t>
      </w:r>
    </w:p>
    <w:p w14:paraId="689AA8F0" w14:textId="77777777" w:rsidR="005A6DBB" w:rsidRDefault="00F93099">
      <w:pPr>
        <w:spacing w:before="120" w:after="120"/>
        <w:rPr>
          <w:lang w:val="en-US"/>
        </w:rPr>
      </w:pPr>
      <w:r>
        <w:rPr>
          <w:lang w:val="en-US"/>
        </w:rPr>
        <w:t xml:space="preserve">The City Manager is therefore required to closely monitor and evaluate progress and must report to Council and National and Provincial Government on a regular basis.  The reports on the implementation of the Plan should form part of discussions at every Mayoral Committee and management meeting.  The City Manager must take corrective action when activities in the Plan are falling behind implementation timelines or when there is a risk of non-achievement of the desired targets or outcomes.  </w:t>
      </w:r>
    </w:p>
    <w:p w14:paraId="104FE16C" w14:textId="77777777" w:rsidR="005A6DBB" w:rsidRDefault="00F93099">
      <w:pPr>
        <w:rPr>
          <w:rFonts w:cs="Calibri"/>
        </w:rPr>
      </w:pPr>
      <w:r>
        <w:t xml:space="preserve">Reporting outside of the Municipality is guided by </w:t>
      </w:r>
      <w:r>
        <w:rPr>
          <w:rFonts w:cs="Calibri"/>
        </w:rPr>
        <w:t>S146 (1) (c) of the MFMA which states that the Municipality must report monthly to the MEC for finance in the Province on the implementation of the plan.</w:t>
      </w:r>
    </w:p>
    <w:p w14:paraId="6387A4BA" w14:textId="77777777" w:rsidR="005A6DBB" w:rsidRDefault="00F93099">
      <w:pPr>
        <w:spacing w:before="120" w:after="120"/>
        <w:rPr>
          <w:lang w:eastAsia="en-ZA"/>
        </w:rPr>
      </w:pPr>
      <w:r>
        <w:rPr>
          <w:lang w:eastAsia="en-ZA"/>
        </w:rPr>
        <w:t>Progress reports on the implementation of the Plan must be signed by the City Manager before submission to Council and National Treasury, on a monthly basis.  A review of the Plan should also be undertaken at regular intervals and be updated as and when more accurate and up to date information is obtained and reported on at a National level.</w:t>
      </w:r>
    </w:p>
    <w:p w14:paraId="65C7721F" w14:textId="77777777" w:rsidR="005A6DBB" w:rsidRDefault="00F93099">
      <w:pPr>
        <w:spacing w:before="120" w:after="120"/>
        <w:rPr>
          <w:lang w:eastAsia="en-ZA"/>
        </w:rPr>
      </w:pPr>
      <w:r>
        <w:rPr>
          <w:lang w:eastAsia="en-ZA"/>
        </w:rPr>
        <w:t>The report to be submitted must at a minimum include the following:</w:t>
      </w:r>
    </w:p>
    <w:p w14:paraId="2F72077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Detailed Activity Plan and Status (Section 7);</w:t>
      </w:r>
    </w:p>
    <w:p w14:paraId="449487B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Risk Matrix, Mitigation Plan and Updates; and</w:t>
      </w:r>
    </w:p>
    <w:p w14:paraId="11284A02"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HAnsi"/>
          <w:sz w:val="22"/>
          <w:szCs w:val="22"/>
          <w:lang w:val="en-US"/>
        </w:rPr>
      </w:pPr>
      <w:r>
        <w:rPr>
          <w:rFonts w:asciiTheme="minorHAnsi" w:hAnsiTheme="minorHAnsi" w:cstheme="minorBidi"/>
          <w:sz w:val="22"/>
          <w:szCs w:val="22"/>
          <w:lang w:val="en-US"/>
        </w:rPr>
        <w:t>Items for Intervention, Escalation and/or Further Discussion.</w:t>
      </w:r>
    </w:p>
    <w:p w14:paraId="51ABFB3A" w14:textId="77777777" w:rsidR="005A6DBB" w:rsidRDefault="005A6DBB">
      <w:pPr>
        <w:spacing w:before="120" w:after="120"/>
        <w:rPr>
          <w:rFonts w:asciiTheme="minorHAnsi" w:hAnsiTheme="minorHAnsi" w:cstheme="minorHAnsi"/>
          <w:szCs w:val="22"/>
          <w:lang w:val="en-US"/>
        </w:rPr>
      </w:pPr>
    </w:p>
    <w:p w14:paraId="4DD1CB5E" w14:textId="77777777" w:rsidR="005A6DBB" w:rsidRDefault="005A6DBB">
      <w:pPr>
        <w:spacing w:before="120" w:after="120"/>
        <w:rPr>
          <w:rFonts w:asciiTheme="minorHAnsi" w:hAnsiTheme="minorHAnsi" w:cstheme="minorHAnsi"/>
          <w:szCs w:val="22"/>
          <w:lang w:val="en-US"/>
        </w:rPr>
      </w:pPr>
    </w:p>
    <w:p w14:paraId="0473B330" w14:textId="77777777" w:rsidR="005A6DBB" w:rsidRDefault="005A6DBB">
      <w:pPr>
        <w:spacing w:before="120" w:after="120"/>
        <w:rPr>
          <w:rFonts w:asciiTheme="minorHAnsi" w:hAnsiTheme="minorHAnsi" w:cstheme="minorHAnsi"/>
          <w:szCs w:val="22"/>
          <w:lang w:val="en-US"/>
        </w:rPr>
      </w:pPr>
    </w:p>
    <w:p w14:paraId="65ADEA56" w14:textId="77777777" w:rsidR="005A6DBB" w:rsidRDefault="005A6DBB">
      <w:pPr>
        <w:spacing w:before="120" w:after="120"/>
        <w:rPr>
          <w:rFonts w:asciiTheme="minorHAnsi" w:hAnsiTheme="minorHAnsi" w:cstheme="minorHAnsi"/>
          <w:szCs w:val="22"/>
          <w:lang w:val="en-US"/>
        </w:rPr>
      </w:pPr>
    </w:p>
    <w:p w14:paraId="5C03E465" w14:textId="77777777" w:rsidR="005A6DBB" w:rsidRDefault="005A6DBB">
      <w:pPr>
        <w:spacing w:before="120" w:after="120"/>
        <w:rPr>
          <w:rFonts w:asciiTheme="minorHAnsi" w:hAnsiTheme="minorHAnsi" w:cstheme="minorHAnsi"/>
          <w:szCs w:val="22"/>
          <w:lang w:val="en-US"/>
        </w:rPr>
      </w:pPr>
    </w:p>
    <w:p w14:paraId="1C5DD9E6" w14:textId="77777777" w:rsidR="005A6DBB" w:rsidRDefault="005A6DBB">
      <w:pPr>
        <w:spacing w:before="120" w:after="120"/>
        <w:rPr>
          <w:rFonts w:asciiTheme="minorHAnsi" w:hAnsiTheme="minorHAnsi" w:cstheme="minorHAnsi"/>
          <w:szCs w:val="22"/>
          <w:lang w:val="en-US"/>
        </w:rPr>
      </w:pPr>
    </w:p>
    <w:p w14:paraId="67BB4CAD" w14:textId="77777777" w:rsidR="005A6DBB" w:rsidRDefault="005A6DBB">
      <w:pPr>
        <w:spacing w:before="120" w:after="120"/>
        <w:rPr>
          <w:rFonts w:asciiTheme="minorHAnsi" w:hAnsiTheme="minorHAnsi" w:cstheme="minorHAnsi"/>
          <w:szCs w:val="22"/>
          <w:lang w:val="en-US"/>
        </w:rPr>
        <w:sectPr w:rsidR="005A6DBB">
          <w:headerReference w:type="default" r:id="rId58"/>
          <w:footerReference w:type="default" r:id="rId59"/>
          <w:headerReference w:type="first" r:id="rId60"/>
          <w:footerReference w:type="first" r:id="rId61"/>
          <w:pgSz w:w="11906" w:h="16838"/>
          <w:pgMar w:top="1418" w:right="1276" w:bottom="1418" w:left="1418" w:header="850" w:footer="0" w:gutter="0"/>
          <w:cols w:space="720"/>
          <w:titlePg/>
          <w:docGrid w:linePitch="360"/>
        </w:sectPr>
      </w:pPr>
    </w:p>
    <w:p w14:paraId="17798468" w14:textId="77777777" w:rsidR="005A6DBB" w:rsidRDefault="00F93099">
      <w:pPr>
        <w:spacing w:before="120" w:after="120"/>
        <w:rPr>
          <w:rFonts w:asciiTheme="minorHAnsi" w:hAnsiTheme="minorHAnsi" w:cstheme="minorHAnsi"/>
          <w:szCs w:val="22"/>
          <w:lang w:val="en-US"/>
        </w:rPr>
      </w:pPr>
      <w:r>
        <w:rPr>
          <w:rFonts w:asciiTheme="minorHAnsi" w:hAnsiTheme="minorHAnsi" w:cstheme="minorHAnsi"/>
          <w:szCs w:val="22"/>
          <w:lang w:val="en-US"/>
        </w:rPr>
        <w:t xml:space="preserve">Below is an example of </w:t>
      </w:r>
      <w:r>
        <w:t>a basic internal reporting structure:</w:t>
      </w:r>
    </w:p>
    <w:p w14:paraId="2BD9516A" w14:textId="77777777" w:rsidR="005A6DBB" w:rsidRDefault="00F93099">
      <w:pPr>
        <w:keepNext/>
        <w:spacing w:before="120" w:after="120"/>
      </w:pPr>
      <w:r>
        <w:rPr>
          <w:rFonts w:asciiTheme="minorHAnsi" w:hAnsiTheme="minorHAnsi" w:cstheme="minorHAnsi"/>
          <w:noProof/>
          <w:szCs w:val="22"/>
          <w:bdr w:val="single" w:sz="18" w:space="0" w:color="auto"/>
          <w:lang w:val="en-US"/>
        </w:rPr>
        <w:drawing>
          <wp:inline distT="0" distB="0" distL="0" distR="0" wp14:anchorId="2159EBCC" wp14:editId="11B7B752">
            <wp:extent cx="8755380" cy="1478280"/>
            <wp:effectExtent l="0" t="0" r="7620" b="7620"/>
            <wp:docPr id="1749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55" name="Picture 1"/>
                    <pic:cNvPicPr>
                      <a:picLocks noChangeAspect="1"/>
                    </pic:cNvPicPr>
                  </pic:nvPicPr>
                  <pic:blipFill>
                    <a:blip r:embed="rId62"/>
                    <a:stretch>
                      <a:fillRect/>
                    </a:stretch>
                  </pic:blipFill>
                  <pic:spPr>
                    <a:xfrm>
                      <a:off x="0" y="0"/>
                      <a:ext cx="8755380" cy="1478280"/>
                    </a:xfrm>
                    <a:prstGeom prst="rect">
                      <a:avLst/>
                    </a:prstGeom>
                  </pic:spPr>
                </pic:pic>
              </a:graphicData>
            </a:graphic>
          </wp:inline>
        </w:drawing>
      </w:r>
    </w:p>
    <w:p w14:paraId="12A220BD" w14:textId="4BBFD4F9" w:rsidR="005A6DBB" w:rsidRDefault="00F93099">
      <w:pPr>
        <w:pStyle w:val="Caption"/>
        <w:rPr>
          <w:rFonts w:asciiTheme="minorHAnsi" w:hAnsiTheme="minorHAnsi" w:cstheme="minorHAnsi"/>
          <w:szCs w:val="22"/>
          <w:lang w:val="en-US"/>
        </w:rPr>
        <w:sectPr w:rsidR="005A6DBB">
          <w:headerReference w:type="first" r:id="rId63"/>
          <w:footerReference w:type="first" r:id="rId64"/>
          <w:pgSz w:w="16838" w:h="11906" w:orient="landscape"/>
          <w:pgMar w:top="1418" w:right="1418" w:bottom="1276" w:left="1418" w:header="850" w:footer="0" w:gutter="0"/>
          <w:cols w:space="720"/>
          <w:titlePg/>
          <w:docGrid w:linePitch="360"/>
        </w:sectPr>
      </w:pPr>
      <w:r>
        <w:t xml:space="preserve">Figure </w:t>
      </w:r>
      <w:r>
        <w:fldChar w:fldCharType="begin"/>
      </w:r>
      <w:r>
        <w:instrText xml:space="preserve"> SEQ Figure \* ARABIC </w:instrText>
      </w:r>
      <w:r>
        <w:fldChar w:fldCharType="separate"/>
      </w:r>
      <w:r w:rsidR="00A564BE">
        <w:rPr>
          <w:noProof/>
        </w:rPr>
        <w:t>8</w:t>
      </w:r>
      <w:r>
        <w:fldChar w:fldCharType="end"/>
      </w:r>
      <w:r>
        <w:t xml:space="preserve"> - Internal Reporting Structure</w:t>
      </w:r>
    </w:p>
    <w:p w14:paraId="70CEA6F5" w14:textId="77777777" w:rsidR="005A6DBB" w:rsidRDefault="00F93099">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45" w:name="_Toc137732240"/>
      <w:r>
        <w:rPr>
          <w:rFonts w:asciiTheme="minorHAnsi" w:hAnsiTheme="minorHAnsi"/>
        </w:rPr>
        <w:t>CONCLUSION</w:t>
      </w:r>
      <w:bookmarkEnd w:id="145"/>
      <w:r>
        <w:rPr>
          <w:rFonts w:asciiTheme="minorHAnsi" w:hAnsiTheme="minorHAnsi"/>
        </w:rPr>
        <w:t xml:space="preserve"> </w:t>
      </w:r>
    </w:p>
    <w:p w14:paraId="42E7FCF7" w14:textId="77777777" w:rsidR="005A6DBB" w:rsidRDefault="00F93099">
      <w:pPr>
        <w:spacing w:before="120" w:after="120"/>
        <w:rPr>
          <w:lang w:eastAsia="en-ZA"/>
        </w:rPr>
      </w:pPr>
      <w:r>
        <w:rPr>
          <w:lang w:eastAsia="en-ZA"/>
        </w:rPr>
        <w:t xml:space="preserve">From the above assessment, the following key issues, </w:t>
      </w:r>
      <w:r>
        <w:rPr>
          <w:i/>
          <w:iCs/>
          <w:lang w:eastAsia="en-ZA"/>
        </w:rPr>
        <w:t>amongst others</w:t>
      </w:r>
      <w:r>
        <w:rPr>
          <w:lang w:eastAsia="en-ZA"/>
        </w:rPr>
        <w:t xml:space="preserve"> were identified and will be addressed in the financial recovery implementation plan:</w:t>
      </w:r>
    </w:p>
    <w:p w14:paraId="58E0623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Outdated policies and lack of implementation;</w:t>
      </w:r>
    </w:p>
    <w:p w14:paraId="3325246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Council and Committees do not sit per the Municipal calendar;</w:t>
      </w:r>
    </w:p>
    <w:p w14:paraId="32F1B139"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Political interference in the operations of the Municipality;</w:t>
      </w:r>
    </w:p>
    <w:p w14:paraId="7D28A794"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High turn-over in Senior Management and critical positions which impact service delivery negatively;</w:t>
      </w:r>
    </w:p>
    <w:p w14:paraId="1BB1CAB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Non-existence of a Performance Management System and no consequence management;</w:t>
      </w:r>
    </w:p>
    <w:p w14:paraId="0EBB4C6A"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Unfunded budgets and bad budgeting techniques;</w:t>
      </w:r>
    </w:p>
    <w:p w14:paraId="426F483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Tariffs are not cost reflective;</w:t>
      </w:r>
    </w:p>
    <w:p w14:paraId="42331BCF"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 xml:space="preserve">Poor debtors’ collection rate; </w:t>
      </w:r>
    </w:p>
    <w:p w14:paraId="3DBEB14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Poor Indigent management;</w:t>
      </w:r>
    </w:p>
    <w:p w14:paraId="57A321BE"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Incorporate Centlec into MMM;</w:t>
      </w:r>
    </w:p>
    <w:p w14:paraId="28525E07"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Supply chain management processes not adhered to;</w:t>
      </w:r>
    </w:p>
    <w:p w14:paraId="7AEDEA8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Excessive overtime payments;</w:t>
      </w:r>
    </w:p>
    <w:p w14:paraId="144A97B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Breaches in the financial control environment;</w:t>
      </w:r>
    </w:p>
    <w:p w14:paraId="0CABA965"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Overall poor asset management;</w:t>
      </w:r>
    </w:p>
    <w:p w14:paraId="308E2D9B"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Old and aging infrastructure;</w:t>
      </w:r>
    </w:p>
    <w:p w14:paraId="597869B3"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Backlogs in service delivery;</w:t>
      </w:r>
    </w:p>
    <w:p w14:paraId="7B7BE26C"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 xml:space="preserve">Underspending on capital budget, </w:t>
      </w:r>
      <w:proofErr w:type="spellStart"/>
      <w:r>
        <w:rPr>
          <w:rFonts w:asciiTheme="minorHAnsi" w:hAnsiTheme="minorHAnsi" w:cstheme="minorBidi"/>
          <w:sz w:val="22"/>
          <w:szCs w:val="22"/>
          <w:lang w:val="en-US"/>
        </w:rPr>
        <w:t>utilising</w:t>
      </w:r>
      <w:proofErr w:type="spellEnd"/>
      <w:r>
        <w:rPr>
          <w:rFonts w:asciiTheme="minorHAnsi" w:hAnsiTheme="minorHAnsi" w:cstheme="minorBidi"/>
          <w:sz w:val="22"/>
          <w:szCs w:val="22"/>
          <w:lang w:val="en-US"/>
        </w:rPr>
        <w:t xml:space="preserve"> capital budget towards operation expenses; and</w:t>
      </w:r>
    </w:p>
    <w:p w14:paraId="5AAA46BD" w14:textId="77777777" w:rsidR="005A6DBB" w:rsidRDefault="00F93099">
      <w:pPr>
        <w:pStyle w:val="ListParagraph"/>
        <w:numPr>
          <w:ilvl w:val="0"/>
          <w:numId w:val="8"/>
        </w:numPr>
        <w:spacing w:before="120" w:after="120" w:line="360" w:lineRule="auto"/>
        <w:ind w:left="357" w:hanging="357"/>
        <w:contextualSpacing w:val="0"/>
        <w:jc w:val="both"/>
        <w:rPr>
          <w:rFonts w:asciiTheme="minorHAnsi" w:hAnsiTheme="minorHAnsi" w:cstheme="minorBidi"/>
          <w:szCs w:val="22"/>
          <w:lang w:val="en-US"/>
        </w:rPr>
      </w:pPr>
      <w:r>
        <w:rPr>
          <w:rFonts w:asciiTheme="minorHAnsi" w:hAnsiTheme="minorHAnsi" w:cstheme="minorBidi"/>
          <w:sz w:val="22"/>
          <w:szCs w:val="22"/>
          <w:lang w:val="en-US"/>
        </w:rPr>
        <w:t>High water and electricity distribution losses; etc.</w:t>
      </w:r>
    </w:p>
    <w:p w14:paraId="5168A417" w14:textId="77777777" w:rsidR="005A6DBB" w:rsidRDefault="00F93099">
      <w:pPr>
        <w:spacing w:before="120" w:after="120"/>
        <w:rPr>
          <w:lang w:eastAsia="en-ZA"/>
        </w:rPr>
      </w:pPr>
      <w:r>
        <w:rPr>
          <w:lang w:eastAsia="en-ZA"/>
        </w:rPr>
        <w:t>The previous interventions (2) were not adhered too, and the financial recovery initiatives were not followed or achieved.  It might be prudent to consider alternative measures combined with the financial recovery process such as an independent forensic investigations and involvement of the Hawks , and /or a nationally supported security measures to assist MMM in the short to medium term.</w:t>
      </w:r>
    </w:p>
    <w:p w14:paraId="366BE19E" w14:textId="77777777" w:rsidR="005A6DBB" w:rsidRDefault="00F93099">
      <w:pPr>
        <w:spacing w:before="120" w:after="120"/>
        <w:rPr>
          <w:lang w:eastAsia="en-ZA"/>
        </w:rPr>
      </w:pPr>
      <w:r>
        <w:rPr>
          <w:lang w:eastAsia="en-ZA"/>
        </w:rPr>
        <w:t>Remedial actions will not have the desired effect before Mangaung is cleansed of alleged fraud and corruption.  Consideration must also be given to dissolve Council during the investigation. (Sections 139 of the Constitution and the MFMA).  The decision to dissolve is strengthened by the inability of Council to implement previous financial recovery plans.</w:t>
      </w:r>
    </w:p>
    <w:p w14:paraId="7BBC2399" w14:textId="77777777" w:rsidR="005A6DBB" w:rsidRDefault="005A6DBB">
      <w:pPr>
        <w:pStyle w:val="Heading1"/>
        <w:numPr>
          <w:ilvl w:val="0"/>
          <w:numId w:val="1"/>
        </w:numPr>
        <w:pBdr>
          <w:left w:val="single" w:sz="18" w:space="2" w:color="002060"/>
        </w:pBdr>
        <w:spacing w:before="120" w:after="120" w:line="360" w:lineRule="auto"/>
        <w:ind w:left="102" w:right="153" w:firstLine="0"/>
        <w:rPr>
          <w:rFonts w:asciiTheme="minorHAnsi" w:hAnsiTheme="minorHAnsi"/>
        </w:rPr>
        <w:sectPr w:rsidR="005A6DBB">
          <w:headerReference w:type="first" r:id="rId65"/>
          <w:footerReference w:type="first" r:id="rId66"/>
          <w:pgSz w:w="11906" w:h="16838"/>
          <w:pgMar w:top="1418" w:right="1276" w:bottom="1418" w:left="1418" w:header="851" w:footer="0" w:gutter="0"/>
          <w:cols w:space="708"/>
          <w:titlePg/>
          <w:docGrid w:linePitch="360"/>
        </w:sectPr>
      </w:pPr>
    </w:p>
    <w:p w14:paraId="7BAEB0B2" w14:textId="77777777" w:rsidR="005A6DBB" w:rsidRDefault="00F93099">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46" w:name="_Toc137732241"/>
      <w:r>
        <w:rPr>
          <w:rFonts w:asciiTheme="minorHAnsi" w:hAnsiTheme="minorHAnsi"/>
        </w:rPr>
        <w:t>ANNEXURE A: IMPLEMENTATION PHASES BASED ON KEY STATUS QUO FINDINGS</w:t>
      </w:r>
      <w:bookmarkEnd w:id="146"/>
    </w:p>
    <w:p w14:paraId="77BD9046" w14:textId="77777777" w:rsidR="005A6DBB" w:rsidRDefault="00F93099">
      <w:r>
        <w:t>Based on the status quo assessment, the following key actions will be required per the three phases:</w:t>
      </w:r>
    </w:p>
    <w:p w14:paraId="3E54D81F" w14:textId="77777777" w:rsidR="005A6DBB" w:rsidRDefault="00F93099">
      <w:pPr>
        <w:pStyle w:val="Heading2"/>
      </w:pPr>
      <w:bookmarkStart w:id="147" w:name="_Toc137732242"/>
      <w:r>
        <w:t>GOVERNANCE</w:t>
      </w:r>
      <w:bookmarkEnd w:id="147"/>
    </w:p>
    <w:tbl>
      <w:tblPr>
        <w:tblStyle w:val="BSWordTable2"/>
        <w:tblW w:w="5000" w:type="pct"/>
        <w:tblLook w:val="04A0" w:firstRow="1" w:lastRow="0" w:firstColumn="1" w:lastColumn="0" w:noHBand="0" w:noVBand="1"/>
      </w:tblPr>
      <w:tblGrid>
        <w:gridCol w:w="4654"/>
        <w:gridCol w:w="4674"/>
        <w:gridCol w:w="4674"/>
      </w:tblGrid>
      <w:tr w:rsidR="005A6DBB" w14:paraId="7ACE75D1" w14:textId="77777777" w:rsidTr="005A6DBB">
        <w:trPr>
          <w:cnfStyle w:val="100000000000" w:firstRow="1" w:lastRow="0" w:firstColumn="0" w:lastColumn="0" w:oddVBand="0" w:evenVBand="0" w:oddHBand="0" w:evenHBand="0" w:firstRowFirstColumn="0" w:firstRowLastColumn="0" w:lastRowFirstColumn="0" w:lastRowLastColumn="0"/>
        </w:trPr>
        <w:tc>
          <w:tcPr>
            <w:tcW w:w="1662" w:type="pct"/>
            <w:tcBorders>
              <w:right w:val="single" w:sz="2" w:space="0" w:color="FFFFFF"/>
            </w:tcBorders>
            <w:shd w:val="clear" w:color="auto" w:fill="002060"/>
          </w:tcPr>
          <w:p w14:paraId="57F3FF7E" w14:textId="77777777" w:rsidR="005A6DBB" w:rsidRDefault="00F93099">
            <w:pPr>
              <w:spacing w:before="120" w:after="120"/>
              <w:jc w:val="center"/>
              <w:rPr>
                <w:rFonts w:asciiTheme="minorHAnsi" w:hAnsiTheme="minorHAnsi" w:cstheme="minorHAnsi"/>
                <w:b w:val="0"/>
                <w:sz w:val="20"/>
                <w:szCs w:val="20"/>
                <w:lang w:eastAsia="en-ZA"/>
              </w:rPr>
            </w:pPr>
            <w:r>
              <w:rPr>
                <w:rFonts w:asciiTheme="minorHAnsi" w:hAnsiTheme="minorHAnsi" w:cstheme="minorHAnsi"/>
                <w:sz w:val="20"/>
                <w:szCs w:val="20"/>
                <w:u w:val="single"/>
                <w:lang w:eastAsia="en-ZA"/>
              </w:rPr>
              <w:t>Phase 1: Rescue</w:t>
            </w:r>
          </w:p>
        </w:tc>
        <w:tc>
          <w:tcPr>
            <w:tcW w:w="1669" w:type="pct"/>
            <w:tcBorders>
              <w:right w:val="single" w:sz="2" w:space="0" w:color="FFFFFF"/>
            </w:tcBorders>
            <w:shd w:val="clear" w:color="auto" w:fill="002060"/>
          </w:tcPr>
          <w:p w14:paraId="469D63A2"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2: Stabilisation</w:t>
            </w:r>
          </w:p>
        </w:tc>
        <w:tc>
          <w:tcPr>
            <w:tcW w:w="1670" w:type="pct"/>
            <w:shd w:val="clear" w:color="auto" w:fill="002060"/>
          </w:tcPr>
          <w:p w14:paraId="1F04160B"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3: Sustainability</w:t>
            </w:r>
          </w:p>
        </w:tc>
      </w:tr>
      <w:tr w:rsidR="005A6DBB" w14:paraId="565689D1" w14:textId="77777777" w:rsidTr="005A6DBB">
        <w:tc>
          <w:tcPr>
            <w:tcW w:w="1662" w:type="pct"/>
            <w:tcBorders>
              <w:top w:val="nil"/>
              <w:left w:val="nil"/>
              <w:bottom w:val="nil"/>
              <w:right w:val="single" w:sz="2" w:space="0" w:color="FFFFFF"/>
              <w:tl2br w:val="nil"/>
              <w:tr2bl w:val="nil"/>
            </w:tcBorders>
            <w:shd w:val="clear" w:color="auto" w:fill="D4E1ED"/>
          </w:tcPr>
          <w:p w14:paraId="5D8ABA40"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Appointment of an independent forensic team to investigate all allegations of fraud, corruption and political interference.</w:t>
            </w:r>
          </w:p>
        </w:tc>
        <w:tc>
          <w:tcPr>
            <w:tcW w:w="1669" w:type="pct"/>
            <w:tcBorders>
              <w:top w:val="nil"/>
              <w:bottom w:val="nil"/>
              <w:right w:val="single" w:sz="2" w:space="0" w:color="FFFFFF"/>
              <w:tl2br w:val="nil"/>
              <w:tr2bl w:val="nil"/>
            </w:tcBorders>
            <w:shd w:val="clear" w:color="auto" w:fill="D4E1ED"/>
          </w:tcPr>
          <w:p w14:paraId="2E1815A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Implementation of all pillars rescue phase activities.</w:t>
            </w:r>
          </w:p>
        </w:tc>
        <w:tc>
          <w:tcPr>
            <w:tcW w:w="1670" w:type="pct"/>
            <w:tcBorders>
              <w:top w:val="nil"/>
              <w:bottom w:val="nil"/>
              <w:right w:val="nil"/>
              <w:tl2br w:val="nil"/>
              <w:tr2bl w:val="nil"/>
            </w:tcBorders>
            <w:shd w:val="clear" w:color="auto" w:fill="D4E1ED"/>
          </w:tcPr>
          <w:p w14:paraId="6D043AF4"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All activities emanating from the rescue and stabilisation phases continued.</w:t>
            </w:r>
          </w:p>
        </w:tc>
      </w:tr>
      <w:tr w:rsidR="005A6DBB" w14:paraId="5D077C13" w14:textId="77777777" w:rsidTr="005A6DBB">
        <w:tc>
          <w:tcPr>
            <w:tcW w:w="1662" w:type="pct"/>
            <w:tcBorders>
              <w:top w:val="nil"/>
              <w:left w:val="nil"/>
              <w:bottom w:val="nil"/>
              <w:right w:val="single" w:sz="2" w:space="0" w:color="FFFFFF"/>
              <w:tl2br w:val="nil"/>
              <w:tr2bl w:val="nil"/>
            </w:tcBorders>
            <w:shd w:val="clear" w:color="auto" w:fill="BED3E4"/>
          </w:tcPr>
          <w:p w14:paraId="50F1F569"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Appoint an external service provider to collect outstanding debtors.</w:t>
            </w:r>
          </w:p>
        </w:tc>
        <w:tc>
          <w:tcPr>
            <w:tcW w:w="1669" w:type="pct"/>
            <w:tcBorders>
              <w:top w:val="nil"/>
              <w:bottom w:val="nil"/>
              <w:right w:val="single" w:sz="2" w:space="0" w:color="FFFFFF"/>
              <w:tl2br w:val="nil"/>
              <w:tr2bl w:val="nil"/>
            </w:tcBorders>
            <w:shd w:val="clear" w:color="auto" w:fill="BED3E4"/>
          </w:tcPr>
          <w:p w14:paraId="6D6098DB"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Implementation of a contract management system.</w:t>
            </w:r>
          </w:p>
        </w:tc>
        <w:tc>
          <w:tcPr>
            <w:tcW w:w="1670" w:type="pct"/>
            <w:tcBorders>
              <w:top w:val="nil"/>
              <w:bottom w:val="nil"/>
              <w:right w:val="nil"/>
              <w:tl2br w:val="nil"/>
              <w:tr2bl w:val="nil"/>
            </w:tcBorders>
            <w:shd w:val="clear" w:color="auto" w:fill="BED3E4"/>
          </w:tcPr>
          <w:p w14:paraId="2DD4EFFD"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Stick to the municipal calendar of meetings.</w:t>
            </w:r>
          </w:p>
        </w:tc>
      </w:tr>
      <w:tr w:rsidR="005A6DBB" w14:paraId="21823917" w14:textId="77777777" w:rsidTr="005A6DBB">
        <w:tc>
          <w:tcPr>
            <w:tcW w:w="1662" w:type="pct"/>
            <w:tcBorders>
              <w:top w:val="nil"/>
              <w:left w:val="nil"/>
              <w:bottom w:val="nil"/>
              <w:right w:val="single" w:sz="2" w:space="0" w:color="FFFFFF"/>
              <w:tl2br w:val="nil"/>
              <w:tr2bl w:val="nil"/>
            </w:tcBorders>
            <w:shd w:val="clear" w:color="auto" w:fill="D4E1ED"/>
          </w:tcPr>
          <w:p w14:paraId="032FC37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The Senior Management and Speaker need to ensure that Council and its Committees sit according to the planned calendar.</w:t>
            </w:r>
          </w:p>
        </w:tc>
        <w:tc>
          <w:tcPr>
            <w:tcW w:w="1669" w:type="pct"/>
            <w:tcBorders>
              <w:top w:val="nil"/>
              <w:bottom w:val="nil"/>
              <w:right w:val="single" w:sz="2" w:space="0" w:color="FFFFFF"/>
              <w:tl2br w:val="nil"/>
              <w:tr2bl w:val="nil"/>
            </w:tcBorders>
            <w:shd w:val="clear" w:color="auto" w:fill="D4E1ED"/>
          </w:tcPr>
          <w:p w14:paraId="5A6A688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Update of the delegation framework.</w:t>
            </w:r>
          </w:p>
        </w:tc>
        <w:tc>
          <w:tcPr>
            <w:tcW w:w="1670" w:type="pct"/>
            <w:tcBorders>
              <w:top w:val="nil"/>
              <w:bottom w:val="nil"/>
              <w:right w:val="nil"/>
              <w:tl2br w:val="nil"/>
              <w:tr2bl w:val="nil"/>
            </w:tcBorders>
            <w:shd w:val="clear" w:color="auto" w:fill="D4E1ED"/>
          </w:tcPr>
          <w:p w14:paraId="3F39A52B"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Set budget parameters, which bind the Municipality for a specified period or until stated conditions have been met.</w:t>
            </w:r>
          </w:p>
        </w:tc>
      </w:tr>
      <w:tr w:rsidR="005A6DBB" w14:paraId="5B8ED375" w14:textId="77777777" w:rsidTr="005A6DBB">
        <w:tc>
          <w:tcPr>
            <w:tcW w:w="1662" w:type="pct"/>
            <w:tcBorders>
              <w:top w:val="nil"/>
              <w:left w:val="nil"/>
              <w:bottom w:val="nil"/>
              <w:right w:val="single" w:sz="2" w:space="0" w:color="FFFFFF"/>
              <w:tl2br w:val="nil"/>
              <w:tr2bl w:val="nil"/>
            </w:tcBorders>
            <w:shd w:val="clear" w:color="auto" w:fill="BED3E4"/>
          </w:tcPr>
          <w:p w14:paraId="1BD4F25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Council must prioritise the appointment of suitable qualifies senior management.</w:t>
            </w:r>
          </w:p>
        </w:tc>
        <w:tc>
          <w:tcPr>
            <w:tcW w:w="1669" w:type="pct"/>
            <w:tcBorders>
              <w:top w:val="nil"/>
              <w:bottom w:val="nil"/>
              <w:right w:val="single" w:sz="2" w:space="0" w:color="FFFFFF"/>
              <w:tl2br w:val="nil"/>
              <w:tr2bl w:val="nil"/>
            </w:tcBorders>
            <w:shd w:val="clear" w:color="auto" w:fill="BED3E4"/>
          </w:tcPr>
          <w:p w14:paraId="53628671"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Enforcement and adherence to SCM processes.</w:t>
            </w:r>
          </w:p>
          <w:p w14:paraId="05CC80C9"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Implement consequence management.</w:t>
            </w:r>
          </w:p>
        </w:tc>
        <w:tc>
          <w:tcPr>
            <w:tcW w:w="1670" w:type="pct"/>
            <w:tcBorders>
              <w:top w:val="nil"/>
              <w:bottom w:val="nil"/>
              <w:right w:val="nil"/>
              <w:tl2br w:val="nil"/>
              <w:tr2bl w:val="nil"/>
            </w:tcBorders>
            <w:shd w:val="clear" w:color="auto" w:fill="BED3E4"/>
          </w:tcPr>
          <w:p w14:paraId="1175496F"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Internal Audit to conduct spot checks for work done prior to payment on regular basis.</w:t>
            </w:r>
          </w:p>
        </w:tc>
      </w:tr>
    </w:tbl>
    <w:p w14:paraId="115308D2" w14:textId="77777777" w:rsidR="005A6DBB" w:rsidRDefault="00F93099">
      <w:pPr>
        <w:pStyle w:val="Heading2"/>
      </w:pPr>
      <w:bookmarkStart w:id="148" w:name="_Toc137732243"/>
      <w:r>
        <w:t>INSTITUTIONAL</w:t>
      </w:r>
      <w:bookmarkEnd w:id="148"/>
    </w:p>
    <w:tbl>
      <w:tblPr>
        <w:tblStyle w:val="BSWordTable2"/>
        <w:tblW w:w="5000" w:type="pct"/>
        <w:tblLook w:val="04A0" w:firstRow="1" w:lastRow="0" w:firstColumn="1" w:lastColumn="0" w:noHBand="0" w:noVBand="1"/>
      </w:tblPr>
      <w:tblGrid>
        <w:gridCol w:w="4669"/>
        <w:gridCol w:w="4668"/>
        <w:gridCol w:w="4665"/>
      </w:tblGrid>
      <w:tr w:rsidR="005A6DBB" w14:paraId="167B73F6" w14:textId="77777777" w:rsidTr="005A6DBB">
        <w:trPr>
          <w:cnfStyle w:val="100000000000" w:firstRow="1" w:lastRow="0" w:firstColumn="0" w:lastColumn="0" w:oddVBand="0" w:evenVBand="0" w:oddHBand="0" w:evenHBand="0" w:firstRowFirstColumn="0" w:firstRowLastColumn="0" w:lastRowFirstColumn="0" w:lastRowLastColumn="0"/>
        </w:trPr>
        <w:tc>
          <w:tcPr>
            <w:tcW w:w="1667" w:type="pct"/>
            <w:tcBorders>
              <w:right w:val="single" w:sz="2" w:space="0" w:color="FFFFFF"/>
            </w:tcBorders>
            <w:shd w:val="clear" w:color="auto" w:fill="002060"/>
          </w:tcPr>
          <w:p w14:paraId="3986278C" w14:textId="77777777" w:rsidR="005A6DBB" w:rsidRDefault="00F93099">
            <w:pPr>
              <w:spacing w:before="120" w:after="120"/>
              <w:jc w:val="center"/>
              <w:rPr>
                <w:rFonts w:asciiTheme="minorHAnsi" w:hAnsiTheme="minorHAnsi" w:cstheme="minorHAnsi"/>
                <w:b w:val="0"/>
                <w:sz w:val="20"/>
                <w:szCs w:val="20"/>
                <w:lang w:eastAsia="en-ZA"/>
              </w:rPr>
            </w:pPr>
            <w:r>
              <w:rPr>
                <w:rFonts w:asciiTheme="minorHAnsi" w:hAnsiTheme="minorHAnsi" w:cstheme="minorHAnsi"/>
                <w:sz w:val="20"/>
                <w:szCs w:val="20"/>
                <w:u w:val="single"/>
                <w:lang w:eastAsia="en-ZA"/>
              </w:rPr>
              <w:t>Phase 1: Rescue</w:t>
            </w:r>
          </w:p>
        </w:tc>
        <w:tc>
          <w:tcPr>
            <w:tcW w:w="1667" w:type="pct"/>
            <w:tcBorders>
              <w:right w:val="single" w:sz="2" w:space="0" w:color="FFFFFF"/>
            </w:tcBorders>
            <w:shd w:val="clear" w:color="auto" w:fill="002060"/>
          </w:tcPr>
          <w:p w14:paraId="6AA7F5BB"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2: Stabilisation</w:t>
            </w:r>
          </w:p>
        </w:tc>
        <w:tc>
          <w:tcPr>
            <w:tcW w:w="1666" w:type="pct"/>
            <w:shd w:val="clear" w:color="auto" w:fill="002060"/>
          </w:tcPr>
          <w:p w14:paraId="488AF8E6"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3: Sustainability</w:t>
            </w:r>
          </w:p>
        </w:tc>
      </w:tr>
      <w:tr w:rsidR="005A6DBB" w14:paraId="20339C43" w14:textId="77777777" w:rsidTr="005A6DBB">
        <w:tc>
          <w:tcPr>
            <w:tcW w:w="1667" w:type="pct"/>
            <w:tcBorders>
              <w:top w:val="nil"/>
              <w:left w:val="nil"/>
              <w:bottom w:val="nil"/>
              <w:right w:val="single" w:sz="2" w:space="0" w:color="FFFFFF"/>
              <w:tl2br w:val="nil"/>
              <w:tr2bl w:val="nil"/>
            </w:tcBorders>
            <w:shd w:val="clear" w:color="auto" w:fill="D4E1ED"/>
          </w:tcPr>
          <w:p w14:paraId="191C6722"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Prioritise the update and implementation of the overtime policy, curb excessive overtime payments.</w:t>
            </w:r>
          </w:p>
        </w:tc>
        <w:tc>
          <w:tcPr>
            <w:tcW w:w="1667" w:type="pct"/>
            <w:tcBorders>
              <w:top w:val="nil"/>
              <w:bottom w:val="nil"/>
              <w:right w:val="single" w:sz="2" w:space="0" w:color="FFFFFF"/>
              <w:tl2br w:val="nil"/>
              <w:tr2bl w:val="nil"/>
            </w:tcBorders>
            <w:shd w:val="clear" w:color="auto" w:fill="D4E1ED"/>
          </w:tcPr>
          <w:p w14:paraId="71AD30C1"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 performance management system must be adopted, implemented across the organisation monitored and periodically reported to Council.</w:t>
            </w:r>
          </w:p>
        </w:tc>
        <w:tc>
          <w:tcPr>
            <w:tcW w:w="1666" w:type="pct"/>
            <w:tcBorders>
              <w:top w:val="nil"/>
              <w:bottom w:val="nil"/>
              <w:right w:val="nil"/>
              <w:tl2br w:val="nil"/>
              <w:tr2bl w:val="nil"/>
            </w:tcBorders>
            <w:shd w:val="clear" w:color="auto" w:fill="D4E1ED"/>
          </w:tcPr>
          <w:p w14:paraId="1C345F2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All activities emanating from the rescue and stabilisation phases continued.</w:t>
            </w:r>
          </w:p>
        </w:tc>
      </w:tr>
      <w:tr w:rsidR="005A6DBB" w14:paraId="03808DAE" w14:textId="77777777" w:rsidTr="005A6DBB">
        <w:tc>
          <w:tcPr>
            <w:tcW w:w="1667" w:type="pct"/>
            <w:tcBorders>
              <w:top w:val="nil"/>
              <w:left w:val="nil"/>
              <w:bottom w:val="nil"/>
              <w:right w:val="single" w:sz="2" w:space="0" w:color="FFFFFF"/>
              <w:tl2br w:val="nil"/>
              <w:tr2bl w:val="nil"/>
            </w:tcBorders>
            <w:shd w:val="clear" w:color="auto" w:fill="BED3E4"/>
          </w:tcPr>
          <w:p w14:paraId="76FE6D2F"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Conduct a physical staff verification to eliminate ‘’Ghost employees’’.</w:t>
            </w:r>
          </w:p>
        </w:tc>
        <w:tc>
          <w:tcPr>
            <w:tcW w:w="1667" w:type="pct"/>
            <w:tcBorders>
              <w:top w:val="nil"/>
              <w:bottom w:val="nil"/>
              <w:right w:val="single" w:sz="2" w:space="0" w:color="FFFFFF"/>
              <w:tl2br w:val="nil"/>
              <w:tr2bl w:val="nil"/>
            </w:tcBorders>
            <w:shd w:val="clear" w:color="auto" w:fill="BED3E4"/>
          </w:tcPr>
          <w:p w14:paraId="19AFA2C8"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Council must adopt a consequence management framework.</w:t>
            </w:r>
          </w:p>
        </w:tc>
        <w:tc>
          <w:tcPr>
            <w:tcW w:w="1666" w:type="pct"/>
            <w:tcBorders>
              <w:top w:val="nil"/>
              <w:bottom w:val="nil"/>
              <w:right w:val="nil"/>
              <w:tl2br w:val="nil"/>
              <w:tr2bl w:val="nil"/>
            </w:tcBorders>
            <w:shd w:val="clear" w:color="auto" w:fill="BED3E4"/>
          </w:tcPr>
          <w:p w14:paraId="02048C21"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Adhere to recruitment and selection procedures.</w:t>
            </w:r>
          </w:p>
        </w:tc>
      </w:tr>
      <w:tr w:rsidR="005A6DBB" w14:paraId="2BC7FE1D" w14:textId="77777777" w:rsidTr="005A6DBB">
        <w:tc>
          <w:tcPr>
            <w:tcW w:w="1667" w:type="pct"/>
            <w:tcBorders>
              <w:top w:val="nil"/>
              <w:left w:val="nil"/>
              <w:bottom w:val="nil"/>
              <w:right w:val="single" w:sz="2" w:space="0" w:color="FFFFFF"/>
              <w:tl2br w:val="nil"/>
              <w:tr2bl w:val="nil"/>
            </w:tcBorders>
            <w:shd w:val="clear" w:color="auto" w:fill="D4E1ED"/>
          </w:tcPr>
          <w:p w14:paraId="75C80ED2"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Update and adoption of all policies.</w:t>
            </w:r>
          </w:p>
        </w:tc>
        <w:tc>
          <w:tcPr>
            <w:tcW w:w="1667" w:type="pct"/>
            <w:tcBorders>
              <w:top w:val="nil"/>
              <w:bottom w:val="nil"/>
              <w:right w:val="single" w:sz="2" w:space="0" w:color="FFFFFF"/>
              <w:tl2br w:val="nil"/>
              <w:tr2bl w:val="nil"/>
            </w:tcBorders>
            <w:shd w:val="clear" w:color="auto" w:fill="D4E1ED"/>
          </w:tcPr>
          <w:p w14:paraId="16ED917B"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Depoliticise workforce/ professionalise.</w:t>
            </w:r>
          </w:p>
        </w:tc>
        <w:tc>
          <w:tcPr>
            <w:tcW w:w="1666" w:type="pct"/>
            <w:tcBorders>
              <w:top w:val="nil"/>
              <w:bottom w:val="nil"/>
              <w:right w:val="nil"/>
              <w:tl2br w:val="nil"/>
              <w:tr2bl w:val="nil"/>
            </w:tcBorders>
            <w:shd w:val="clear" w:color="auto" w:fill="D4E1ED"/>
          </w:tcPr>
          <w:p w14:paraId="32F2E856"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Assess appointment of contracts and terminate where proper appointment processes were not followed.</w:t>
            </w:r>
          </w:p>
        </w:tc>
      </w:tr>
      <w:tr w:rsidR="005A6DBB" w14:paraId="2A451510" w14:textId="77777777" w:rsidTr="005A6DBB">
        <w:tc>
          <w:tcPr>
            <w:tcW w:w="1667" w:type="pct"/>
            <w:tcBorders>
              <w:top w:val="nil"/>
              <w:left w:val="nil"/>
              <w:bottom w:val="nil"/>
              <w:right w:val="single" w:sz="2" w:space="0" w:color="FFFFFF"/>
              <w:tl2br w:val="nil"/>
              <w:tr2bl w:val="nil"/>
            </w:tcBorders>
            <w:shd w:val="clear" w:color="auto" w:fill="BED3E4"/>
          </w:tcPr>
          <w:p w14:paraId="326C7454"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Review MMM’s organogram and structure.</w:t>
            </w:r>
          </w:p>
          <w:p w14:paraId="05B79389"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Conduct a skills audit on all employees.</w:t>
            </w:r>
          </w:p>
        </w:tc>
        <w:tc>
          <w:tcPr>
            <w:tcW w:w="1667" w:type="pct"/>
            <w:tcBorders>
              <w:top w:val="nil"/>
              <w:bottom w:val="nil"/>
              <w:right w:val="single" w:sz="2" w:space="0" w:color="FFFFFF"/>
              <w:tl2br w:val="nil"/>
              <w:tr2bl w:val="nil"/>
            </w:tcBorders>
            <w:shd w:val="clear" w:color="auto" w:fill="BED3E4"/>
          </w:tcPr>
          <w:p w14:paraId="6EA39A2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Professionalise staff.</w:t>
            </w:r>
          </w:p>
          <w:p w14:paraId="155DAA8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Train staff on matters of discipline.</w:t>
            </w:r>
          </w:p>
          <w:p w14:paraId="4563C74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Apply disciplinary codes consistently.</w:t>
            </w:r>
          </w:p>
        </w:tc>
        <w:tc>
          <w:tcPr>
            <w:tcW w:w="1666" w:type="pct"/>
            <w:tcBorders>
              <w:top w:val="nil"/>
              <w:bottom w:val="nil"/>
              <w:right w:val="nil"/>
              <w:tl2br w:val="nil"/>
              <w:tr2bl w:val="nil"/>
            </w:tcBorders>
            <w:shd w:val="clear" w:color="auto" w:fill="BED3E4"/>
          </w:tcPr>
          <w:p w14:paraId="1FE188AD"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Fully utilise internal Municipal staff and resources prior to outsourcing any services.</w:t>
            </w:r>
          </w:p>
        </w:tc>
      </w:tr>
      <w:tr w:rsidR="005A6DBB" w14:paraId="4BB88430" w14:textId="77777777" w:rsidTr="005A6DBB">
        <w:tc>
          <w:tcPr>
            <w:tcW w:w="1667" w:type="pct"/>
            <w:tcBorders>
              <w:top w:val="nil"/>
              <w:left w:val="nil"/>
              <w:bottom w:val="nil"/>
              <w:right w:val="single" w:sz="2" w:space="0" w:color="FFFFFF"/>
              <w:tl2br w:val="nil"/>
              <w:tr2bl w:val="nil"/>
            </w:tcBorders>
            <w:shd w:val="clear" w:color="auto" w:fill="D4E1ED"/>
          </w:tcPr>
          <w:p w14:paraId="3745D3D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Hold strategic planning session urgently to agree on an operating model.</w:t>
            </w:r>
          </w:p>
        </w:tc>
        <w:tc>
          <w:tcPr>
            <w:tcW w:w="1667" w:type="pct"/>
            <w:tcBorders>
              <w:top w:val="nil"/>
              <w:bottom w:val="nil"/>
              <w:right w:val="single" w:sz="2" w:space="0" w:color="FFFFFF"/>
              <w:tl2br w:val="nil"/>
              <w:tr2bl w:val="nil"/>
            </w:tcBorders>
            <w:shd w:val="clear" w:color="auto" w:fill="D4E1ED"/>
          </w:tcPr>
          <w:p w14:paraId="0CDCAE75"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Review job descriptions.</w:t>
            </w:r>
          </w:p>
        </w:tc>
        <w:tc>
          <w:tcPr>
            <w:tcW w:w="1666" w:type="pct"/>
            <w:tcBorders>
              <w:top w:val="nil"/>
              <w:bottom w:val="nil"/>
              <w:right w:val="nil"/>
              <w:tl2br w:val="nil"/>
              <w:tr2bl w:val="nil"/>
            </w:tcBorders>
            <w:shd w:val="clear" w:color="auto" w:fill="D4E1ED"/>
          </w:tcPr>
          <w:p w14:paraId="091D7FB2"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Develop a change management strategy.</w:t>
            </w:r>
          </w:p>
        </w:tc>
      </w:tr>
    </w:tbl>
    <w:p w14:paraId="00B40BF2" w14:textId="77777777" w:rsidR="005A6DBB" w:rsidRDefault="00F93099">
      <w:pPr>
        <w:pStyle w:val="Heading2"/>
      </w:pPr>
      <w:bookmarkStart w:id="149" w:name="_Toc137732244"/>
      <w:r>
        <w:t>FINANCIAL HEALTH</w:t>
      </w:r>
      <w:bookmarkEnd w:id="149"/>
    </w:p>
    <w:tbl>
      <w:tblPr>
        <w:tblStyle w:val="BSWordTable2"/>
        <w:tblW w:w="5000" w:type="pct"/>
        <w:tblLook w:val="04A0" w:firstRow="1" w:lastRow="0" w:firstColumn="1" w:lastColumn="0" w:noHBand="0" w:noVBand="1"/>
      </w:tblPr>
      <w:tblGrid>
        <w:gridCol w:w="4669"/>
        <w:gridCol w:w="4668"/>
        <w:gridCol w:w="4665"/>
      </w:tblGrid>
      <w:tr w:rsidR="005A6DBB" w14:paraId="3544B249" w14:textId="77777777" w:rsidTr="005A6DBB">
        <w:trPr>
          <w:cnfStyle w:val="100000000000" w:firstRow="1" w:lastRow="0" w:firstColumn="0" w:lastColumn="0" w:oddVBand="0" w:evenVBand="0" w:oddHBand="0" w:evenHBand="0" w:firstRowFirstColumn="0" w:firstRowLastColumn="0" w:lastRowFirstColumn="0" w:lastRowLastColumn="0"/>
        </w:trPr>
        <w:tc>
          <w:tcPr>
            <w:tcW w:w="1667" w:type="pct"/>
            <w:tcBorders>
              <w:right w:val="single" w:sz="2" w:space="0" w:color="FFFFFF"/>
            </w:tcBorders>
            <w:shd w:val="clear" w:color="auto" w:fill="002060"/>
          </w:tcPr>
          <w:p w14:paraId="163AE29D" w14:textId="77777777" w:rsidR="005A6DBB" w:rsidRDefault="00F93099">
            <w:pPr>
              <w:spacing w:before="120" w:after="120"/>
              <w:jc w:val="center"/>
              <w:rPr>
                <w:rFonts w:asciiTheme="minorHAnsi" w:hAnsiTheme="minorHAnsi" w:cstheme="minorHAnsi"/>
                <w:b w:val="0"/>
                <w:sz w:val="20"/>
                <w:szCs w:val="20"/>
                <w:lang w:eastAsia="en-ZA"/>
              </w:rPr>
            </w:pPr>
            <w:r>
              <w:rPr>
                <w:rFonts w:asciiTheme="minorHAnsi" w:hAnsiTheme="minorHAnsi" w:cstheme="minorHAnsi"/>
                <w:sz w:val="20"/>
                <w:szCs w:val="20"/>
                <w:u w:val="single"/>
                <w:lang w:eastAsia="en-ZA"/>
              </w:rPr>
              <w:t>Phase 1: Rescue</w:t>
            </w:r>
          </w:p>
        </w:tc>
        <w:tc>
          <w:tcPr>
            <w:tcW w:w="1667" w:type="pct"/>
            <w:tcBorders>
              <w:right w:val="single" w:sz="2" w:space="0" w:color="FFFFFF"/>
            </w:tcBorders>
            <w:shd w:val="clear" w:color="auto" w:fill="002060"/>
          </w:tcPr>
          <w:p w14:paraId="6C144E24"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2: Stabilisation</w:t>
            </w:r>
          </w:p>
        </w:tc>
        <w:tc>
          <w:tcPr>
            <w:tcW w:w="1666" w:type="pct"/>
            <w:shd w:val="clear" w:color="auto" w:fill="002060"/>
          </w:tcPr>
          <w:p w14:paraId="6206ADC1" w14:textId="77777777" w:rsidR="005A6DBB" w:rsidRDefault="00F93099">
            <w:pPr>
              <w:spacing w:before="120" w:after="120"/>
              <w:jc w:val="center"/>
              <w:rPr>
                <w:rFonts w:asciiTheme="minorHAnsi" w:hAnsiTheme="minorHAnsi" w:cstheme="minorHAnsi"/>
                <w:b w:val="0"/>
                <w:sz w:val="20"/>
                <w:szCs w:val="20"/>
                <w:u w:val="single"/>
                <w:lang w:eastAsia="en-ZA"/>
              </w:rPr>
            </w:pPr>
            <w:r>
              <w:rPr>
                <w:rFonts w:asciiTheme="minorHAnsi" w:hAnsiTheme="minorHAnsi" w:cstheme="minorHAnsi"/>
                <w:sz w:val="20"/>
                <w:szCs w:val="20"/>
                <w:u w:val="single"/>
                <w:lang w:eastAsia="en-ZA"/>
              </w:rPr>
              <w:t>Phase 3: Sustainability</w:t>
            </w:r>
          </w:p>
        </w:tc>
      </w:tr>
      <w:tr w:rsidR="005A6DBB" w14:paraId="1FE74D1B" w14:textId="77777777" w:rsidTr="005A6DBB">
        <w:tc>
          <w:tcPr>
            <w:tcW w:w="1667" w:type="pct"/>
            <w:tcBorders>
              <w:top w:val="nil"/>
              <w:left w:val="nil"/>
              <w:bottom w:val="nil"/>
              <w:right w:val="single" w:sz="2" w:space="0" w:color="FFFFFF"/>
              <w:tl2br w:val="nil"/>
              <w:tr2bl w:val="nil"/>
            </w:tcBorders>
            <w:shd w:val="clear" w:color="auto" w:fill="D4E1ED"/>
          </w:tcPr>
          <w:p w14:paraId="277866F3" w14:textId="77777777" w:rsidR="005A6DBB" w:rsidRDefault="00F93099">
            <w:pPr>
              <w:spacing w:before="120" w:after="120"/>
              <w:rPr>
                <w:rFonts w:asciiTheme="minorHAnsi" w:hAnsiTheme="minorHAnsi" w:cstheme="minorHAnsi"/>
                <w:kern w:val="2"/>
                <w:sz w:val="20"/>
                <w:szCs w:val="20"/>
                <w14:ligatures w14:val="standardContextual"/>
              </w:rPr>
            </w:pPr>
            <w:r>
              <w:rPr>
                <w:rFonts w:asciiTheme="minorHAnsi" w:hAnsiTheme="minorHAnsi" w:cstheme="minorHAnsi"/>
                <w:kern w:val="2"/>
                <w:sz w:val="20"/>
                <w:szCs w:val="20"/>
                <w14:ligatures w14:val="standardContextual"/>
              </w:rPr>
              <w:t>Funded Budget.</w:t>
            </w:r>
          </w:p>
        </w:tc>
        <w:tc>
          <w:tcPr>
            <w:tcW w:w="1667" w:type="pct"/>
            <w:tcBorders>
              <w:top w:val="nil"/>
              <w:bottom w:val="nil"/>
              <w:right w:val="single" w:sz="2" w:space="0" w:color="FFFFFF"/>
              <w:tl2br w:val="nil"/>
              <w:tr2bl w:val="nil"/>
            </w:tcBorders>
            <w:shd w:val="clear" w:color="auto" w:fill="D4E1ED"/>
          </w:tcPr>
          <w:p w14:paraId="5112363E"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kern w:val="2"/>
                <w:sz w:val="20"/>
                <w:szCs w:val="20"/>
                <w:lang w:eastAsia="en-ZA"/>
                <w14:ligatures w14:val="standardContextual"/>
              </w:rPr>
              <w:t>Employ full complement of qualified and skilled staff for the Finance Department and Implement a transfer of skills programme at MMM.</w:t>
            </w:r>
          </w:p>
        </w:tc>
        <w:tc>
          <w:tcPr>
            <w:tcW w:w="1666" w:type="pct"/>
            <w:tcBorders>
              <w:top w:val="nil"/>
              <w:bottom w:val="nil"/>
              <w:right w:val="nil"/>
              <w:tl2br w:val="nil"/>
              <w:tr2bl w:val="nil"/>
            </w:tcBorders>
            <w:shd w:val="clear" w:color="auto" w:fill="D4E1ED"/>
          </w:tcPr>
          <w:p w14:paraId="42B7CAAE"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Implement a transfer of skills programme at MMM.</w:t>
            </w:r>
          </w:p>
        </w:tc>
      </w:tr>
      <w:tr w:rsidR="005A6DBB" w14:paraId="30C433B8" w14:textId="77777777" w:rsidTr="005A6DBB">
        <w:tc>
          <w:tcPr>
            <w:tcW w:w="1667" w:type="pct"/>
            <w:tcBorders>
              <w:top w:val="nil"/>
              <w:left w:val="nil"/>
              <w:bottom w:val="nil"/>
              <w:right w:val="single" w:sz="2" w:space="0" w:color="FFFFFF"/>
              <w:tl2br w:val="nil"/>
              <w:tr2bl w:val="nil"/>
            </w:tcBorders>
            <w:shd w:val="clear" w:color="auto" w:fill="BED3E4"/>
          </w:tcPr>
          <w:p w14:paraId="0785BAC3" w14:textId="77777777" w:rsidR="005A6DBB" w:rsidRDefault="00F93099">
            <w:pPr>
              <w:spacing w:before="120" w:after="120"/>
              <w:rPr>
                <w:rFonts w:asciiTheme="minorHAnsi" w:hAnsiTheme="minorHAnsi" w:cstheme="minorHAnsi"/>
                <w:kern w:val="2"/>
                <w:sz w:val="20"/>
                <w:szCs w:val="20"/>
                <w14:ligatures w14:val="standardContextual"/>
              </w:rPr>
            </w:pPr>
            <w:r>
              <w:rPr>
                <w:rFonts w:asciiTheme="minorHAnsi" w:hAnsiTheme="minorHAnsi" w:cstheme="minorHAnsi"/>
                <w:kern w:val="2"/>
                <w:sz w:val="20"/>
                <w:szCs w:val="20"/>
                <w14:ligatures w14:val="standardContextual"/>
              </w:rPr>
              <w:t>Liquidity and Cash Flow Management.</w:t>
            </w:r>
          </w:p>
        </w:tc>
        <w:tc>
          <w:tcPr>
            <w:tcW w:w="1667" w:type="pct"/>
            <w:tcBorders>
              <w:top w:val="nil"/>
              <w:bottom w:val="nil"/>
              <w:right w:val="single" w:sz="2" w:space="0" w:color="FFFFFF"/>
              <w:tl2br w:val="nil"/>
              <w:tr2bl w:val="nil"/>
            </w:tcBorders>
            <w:shd w:val="clear" w:color="auto" w:fill="BED3E4"/>
          </w:tcPr>
          <w:p w14:paraId="305A75ED"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Establishment of a PMO office for the monitoring of operating and capital projects.</w:t>
            </w:r>
          </w:p>
        </w:tc>
        <w:tc>
          <w:tcPr>
            <w:tcW w:w="1666" w:type="pct"/>
            <w:tcBorders>
              <w:top w:val="nil"/>
              <w:bottom w:val="nil"/>
              <w:right w:val="nil"/>
              <w:tl2br w:val="nil"/>
              <w:tr2bl w:val="nil"/>
            </w:tcBorders>
            <w:shd w:val="clear" w:color="auto" w:fill="BED3E4"/>
          </w:tcPr>
          <w:p w14:paraId="196AC996"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 xml:space="preserve">Install one system that is all encompassing of each unit’s needs and are </w:t>
            </w:r>
            <w:proofErr w:type="spellStart"/>
            <w:r>
              <w:rPr>
                <w:rFonts w:asciiTheme="minorHAnsi" w:hAnsiTheme="minorHAnsi" w:cstheme="minorHAnsi"/>
                <w:sz w:val="20"/>
                <w:szCs w:val="20"/>
                <w:lang w:eastAsia="en-ZA"/>
              </w:rPr>
              <w:t>mSCOA</w:t>
            </w:r>
            <w:proofErr w:type="spellEnd"/>
            <w:r>
              <w:rPr>
                <w:rFonts w:asciiTheme="minorHAnsi" w:hAnsiTheme="minorHAnsi" w:cstheme="minorHAnsi"/>
                <w:sz w:val="20"/>
                <w:szCs w:val="20"/>
                <w:lang w:eastAsia="en-ZA"/>
              </w:rPr>
              <w:t xml:space="preserve"> compliant.</w:t>
            </w:r>
          </w:p>
        </w:tc>
      </w:tr>
      <w:tr w:rsidR="005A6DBB" w14:paraId="3E4EFCBA" w14:textId="77777777" w:rsidTr="005A6DBB">
        <w:tc>
          <w:tcPr>
            <w:tcW w:w="1667" w:type="pct"/>
            <w:tcBorders>
              <w:top w:val="nil"/>
              <w:left w:val="nil"/>
              <w:bottom w:val="nil"/>
              <w:right w:val="single" w:sz="2" w:space="0" w:color="FFFFFF"/>
              <w:tl2br w:val="nil"/>
              <w:tr2bl w:val="nil"/>
            </w:tcBorders>
            <w:shd w:val="clear" w:color="auto" w:fill="D4E1ED"/>
          </w:tcPr>
          <w:p w14:paraId="7200E478" w14:textId="77777777" w:rsidR="005A6DBB" w:rsidRDefault="00F93099">
            <w:pPr>
              <w:spacing w:before="120" w:after="120"/>
              <w:rPr>
                <w:rFonts w:asciiTheme="minorHAnsi" w:hAnsiTheme="minorHAnsi" w:cstheme="minorHAnsi"/>
                <w:kern w:val="2"/>
                <w:sz w:val="20"/>
                <w:szCs w:val="20"/>
                <w14:ligatures w14:val="standardContextual"/>
              </w:rPr>
            </w:pPr>
            <w:r>
              <w:rPr>
                <w:rFonts w:asciiTheme="minorHAnsi" w:hAnsiTheme="minorHAnsi" w:cstheme="minorHAnsi"/>
                <w:kern w:val="2"/>
                <w:sz w:val="20"/>
                <w:szCs w:val="20"/>
                <w14:ligatures w14:val="standardContextual"/>
              </w:rPr>
              <w:t>Cost Containment in all departments.</w:t>
            </w:r>
          </w:p>
        </w:tc>
        <w:tc>
          <w:tcPr>
            <w:tcW w:w="1667" w:type="pct"/>
            <w:tcBorders>
              <w:top w:val="nil"/>
              <w:bottom w:val="nil"/>
              <w:right w:val="single" w:sz="2" w:space="0" w:color="FFFFFF"/>
              <w:tl2br w:val="nil"/>
              <w:tr2bl w:val="nil"/>
            </w:tcBorders>
            <w:shd w:val="clear" w:color="auto" w:fill="D4E1ED"/>
          </w:tcPr>
          <w:p w14:paraId="2749CC80"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Update and adoption of indigent policy.</w:t>
            </w:r>
          </w:p>
        </w:tc>
        <w:tc>
          <w:tcPr>
            <w:tcW w:w="1666" w:type="pct"/>
            <w:tcBorders>
              <w:top w:val="nil"/>
              <w:bottom w:val="nil"/>
              <w:right w:val="nil"/>
              <w:tl2br w:val="nil"/>
              <w:tr2bl w:val="nil"/>
            </w:tcBorders>
            <w:shd w:val="clear" w:color="auto" w:fill="D4E1ED"/>
          </w:tcPr>
          <w:p w14:paraId="55371C8C"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Implement financial management standard operating procedures.</w:t>
            </w:r>
          </w:p>
        </w:tc>
      </w:tr>
      <w:tr w:rsidR="005A6DBB" w14:paraId="20AF4F48" w14:textId="77777777" w:rsidTr="005A6DBB">
        <w:tc>
          <w:tcPr>
            <w:tcW w:w="1667" w:type="pct"/>
            <w:tcBorders>
              <w:top w:val="nil"/>
              <w:left w:val="nil"/>
              <w:bottom w:val="nil"/>
              <w:right w:val="single" w:sz="2" w:space="0" w:color="FFFFFF"/>
              <w:tl2br w:val="nil"/>
              <w:tr2bl w:val="nil"/>
            </w:tcBorders>
            <w:shd w:val="clear" w:color="auto" w:fill="BED3E4"/>
          </w:tcPr>
          <w:p w14:paraId="77424B8D" w14:textId="77777777" w:rsidR="005A6DBB" w:rsidRDefault="00F93099">
            <w:pPr>
              <w:spacing w:before="120" w:after="120"/>
              <w:rPr>
                <w:rFonts w:asciiTheme="minorHAnsi" w:hAnsiTheme="minorHAnsi" w:cstheme="minorHAnsi"/>
                <w:kern w:val="2"/>
                <w:sz w:val="20"/>
                <w:szCs w:val="20"/>
                <w:lang w:eastAsia="en-ZA"/>
                <w14:ligatures w14:val="standardContextual"/>
              </w:rPr>
            </w:pPr>
            <w:r>
              <w:rPr>
                <w:rFonts w:asciiTheme="minorHAnsi" w:hAnsiTheme="minorHAnsi" w:cstheme="minorHAnsi"/>
                <w:kern w:val="2"/>
                <w:sz w:val="20"/>
                <w:szCs w:val="20"/>
                <w:lang w:eastAsia="en-ZA"/>
                <w14:ligatures w14:val="standardContextual"/>
              </w:rPr>
              <w:t>Setting of cost reflective tariffs.</w:t>
            </w:r>
          </w:p>
        </w:tc>
        <w:tc>
          <w:tcPr>
            <w:tcW w:w="1667" w:type="pct"/>
            <w:tcBorders>
              <w:top w:val="nil"/>
              <w:bottom w:val="nil"/>
              <w:right w:val="single" w:sz="2" w:space="0" w:color="FFFFFF"/>
              <w:tl2br w:val="nil"/>
              <w:tr2bl w:val="nil"/>
            </w:tcBorders>
            <w:shd w:val="clear" w:color="auto" w:fill="BED3E4"/>
          </w:tcPr>
          <w:p w14:paraId="45595436"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Devise a plan to repay unspent conditional grants and payables and include plan in future budgets to ensure payments are made in terms of the plan.</w:t>
            </w:r>
          </w:p>
        </w:tc>
        <w:tc>
          <w:tcPr>
            <w:tcW w:w="1666" w:type="pct"/>
            <w:tcBorders>
              <w:top w:val="nil"/>
              <w:bottom w:val="nil"/>
              <w:right w:val="nil"/>
              <w:tl2br w:val="nil"/>
              <w:tr2bl w:val="nil"/>
            </w:tcBorders>
            <w:shd w:val="clear" w:color="auto" w:fill="BED3E4"/>
          </w:tcPr>
          <w:p w14:paraId="0F007C5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Improve credibility of budget in-year reporting.</w:t>
            </w:r>
          </w:p>
        </w:tc>
      </w:tr>
      <w:tr w:rsidR="005A6DBB" w14:paraId="2650B554" w14:textId="77777777" w:rsidTr="005A6DBB">
        <w:tc>
          <w:tcPr>
            <w:tcW w:w="1667" w:type="pct"/>
            <w:tcBorders>
              <w:top w:val="nil"/>
              <w:left w:val="nil"/>
              <w:bottom w:val="nil"/>
              <w:right w:val="single" w:sz="2" w:space="0" w:color="FFFFFF"/>
              <w:tl2br w:val="nil"/>
              <w:tr2bl w:val="nil"/>
            </w:tcBorders>
            <w:shd w:val="clear" w:color="auto" w:fill="D4E1ED"/>
          </w:tcPr>
          <w:p w14:paraId="008134AF"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kern w:val="2"/>
                <w:sz w:val="20"/>
                <w:szCs w:val="20"/>
                <w14:ligatures w14:val="standardContextual"/>
              </w:rPr>
              <w:t>Creditor negotiations and payment plans.</w:t>
            </w:r>
          </w:p>
        </w:tc>
        <w:tc>
          <w:tcPr>
            <w:tcW w:w="1667" w:type="pct"/>
            <w:tcBorders>
              <w:top w:val="nil"/>
              <w:bottom w:val="nil"/>
              <w:right w:val="single" w:sz="2" w:space="0" w:color="FFFFFF"/>
              <w:tl2br w:val="nil"/>
              <w:tr2bl w:val="nil"/>
            </w:tcBorders>
            <w:shd w:val="clear" w:color="auto" w:fill="D4E1ED"/>
          </w:tcPr>
          <w:p w14:paraId="77CEC189"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Develop customer care service charter and service standards.</w:t>
            </w:r>
          </w:p>
        </w:tc>
        <w:tc>
          <w:tcPr>
            <w:tcW w:w="1666" w:type="pct"/>
            <w:tcBorders>
              <w:top w:val="nil"/>
              <w:bottom w:val="nil"/>
              <w:right w:val="nil"/>
              <w:tl2br w:val="nil"/>
              <w:tr2bl w:val="nil"/>
            </w:tcBorders>
            <w:shd w:val="clear" w:color="auto" w:fill="D4E1ED"/>
          </w:tcPr>
          <w:p w14:paraId="51E3AC2A"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Ringfence conditional grants.</w:t>
            </w:r>
          </w:p>
        </w:tc>
      </w:tr>
      <w:tr w:rsidR="005A6DBB" w14:paraId="5E3C1446" w14:textId="77777777" w:rsidTr="005A6DBB">
        <w:tc>
          <w:tcPr>
            <w:tcW w:w="1667" w:type="pct"/>
            <w:tcBorders>
              <w:top w:val="nil"/>
              <w:left w:val="nil"/>
              <w:bottom w:val="nil"/>
              <w:right w:val="single" w:sz="2" w:space="0" w:color="FFFFFF"/>
              <w:tl2br w:val="nil"/>
              <w:tr2bl w:val="nil"/>
            </w:tcBorders>
            <w:shd w:val="clear" w:color="auto" w:fill="BED3E4"/>
          </w:tcPr>
          <w:p w14:paraId="01492AD7" w14:textId="77777777" w:rsidR="005A6DBB" w:rsidRDefault="00F93099">
            <w:pPr>
              <w:spacing w:before="120" w:after="120"/>
              <w:rPr>
                <w:rFonts w:asciiTheme="minorHAnsi" w:hAnsiTheme="minorHAnsi" w:cstheme="minorHAnsi"/>
                <w:kern w:val="2"/>
                <w:sz w:val="20"/>
                <w:szCs w:val="20"/>
                <w:lang w:eastAsia="en-ZA"/>
                <w14:ligatures w14:val="standardContextual"/>
              </w:rPr>
            </w:pPr>
            <w:r>
              <w:rPr>
                <w:rFonts w:asciiTheme="minorHAnsi" w:hAnsiTheme="minorHAnsi" w:cstheme="minorHAnsi"/>
                <w:kern w:val="2"/>
                <w:sz w:val="20"/>
                <w:szCs w:val="20"/>
                <w:lang w:eastAsia="en-ZA"/>
                <w14:ligatures w14:val="standardContextual"/>
              </w:rPr>
              <w:t>Enhance Revenue Collection.</w:t>
            </w:r>
          </w:p>
        </w:tc>
        <w:tc>
          <w:tcPr>
            <w:tcW w:w="1667" w:type="pct"/>
            <w:tcBorders>
              <w:top w:val="nil"/>
              <w:bottom w:val="nil"/>
              <w:right w:val="single" w:sz="2" w:space="0" w:color="FFFFFF"/>
              <w:tl2br w:val="nil"/>
              <w:tr2bl w:val="nil"/>
            </w:tcBorders>
            <w:shd w:val="clear" w:color="auto" w:fill="BED3E4"/>
          </w:tcPr>
          <w:p w14:paraId="6EFD2CFB"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 xml:space="preserve">Ensure that MMM is 100% </w:t>
            </w:r>
            <w:proofErr w:type="spellStart"/>
            <w:r>
              <w:rPr>
                <w:rFonts w:asciiTheme="minorHAnsi" w:hAnsiTheme="minorHAnsi" w:cstheme="minorHAnsi"/>
                <w:sz w:val="20"/>
                <w:szCs w:val="20"/>
                <w:lang w:eastAsia="en-ZA"/>
              </w:rPr>
              <w:t>mSCOA</w:t>
            </w:r>
            <w:proofErr w:type="spellEnd"/>
            <w:r>
              <w:rPr>
                <w:rFonts w:asciiTheme="minorHAnsi" w:hAnsiTheme="minorHAnsi" w:cstheme="minorHAnsi"/>
                <w:sz w:val="20"/>
                <w:szCs w:val="20"/>
                <w:lang w:eastAsia="en-ZA"/>
              </w:rPr>
              <w:t xml:space="preserve"> compliant.</w:t>
            </w:r>
          </w:p>
        </w:tc>
        <w:tc>
          <w:tcPr>
            <w:tcW w:w="1666" w:type="pct"/>
            <w:tcBorders>
              <w:top w:val="nil"/>
              <w:bottom w:val="nil"/>
              <w:right w:val="nil"/>
              <w:tl2br w:val="nil"/>
              <w:tr2bl w:val="nil"/>
            </w:tcBorders>
            <w:shd w:val="clear" w:color="auto" w:fill="BED3E4"/>
          </w:tcPr>
          <w:p w14:paraId="01B37FD7" w14:textId="77777777" w:rsidR="005A6DBB" w:rsidRDefault="00F93099">
            <w:pPr>
              <w:spacing w:before="120" w:after="120"/>
              <w:rPr>
                <w:rFonts w:asciiTheme="minorHAnsi" w:hAnsiTheme="minorHAnsi" w:cstheme="minorHAnsi"/>
                <w:sz w:val="20"/>
                <w:szCs w:val="20"/>
                <w:lang w:eastAsia="en-ZA"/>
              </w:rPr>
            </w:pPr>
            <w:r>
              <w:rPr>
                <w:rFonts w:asciiTheme="minorHAnsi" w:hAnsiTheme="minorHAnsi" w:cstheme="minorHAnsi"/>
                <w:sz w:val="20"/>
                <w:szCs w:val="20"/>
                <w:lang w:eastAsia="en-ZA"/>
              </w:rPr>
              <w:t>Enforce cost containment measures and consequence management.</w:t>
            </w:r>
          </w:p>
        </w:tc>
      </w:tr>
      <w:tr w:rsidR="005A6DBB" w14:paraId="048B15D3" w14:textId="77777777" w:rsidTr="005A6DBB">
        <w:tc>
          <w:tcPr>
            <w:tcW w:w="1667" w:type="pct"/>
            <w:tcBorders>
              <w:top w:val="nil"/>
              <w:left w:val="nil"/>
              <w:bottom w:val="nil"/>
              <w:right w:val="single" w:sz="2" w:space="0" w:color="FFFFFF"/>
              <w:tl2br w:val="nil"/>
              <w:tr2bl w:val="nil"/>
            </w:tcBorders>
            <w:shd w:val="clear" w:color="auto" w:fill="D4E1ED"/>
          </w:tcPr>
          <w:p w14:paraId="41E2B1F9" w14:textId="77777777" w:rsidR="005A6DBB" w:rsidRDefault="00F93099">
            <w:pPr>
              <w:spacing w:before="120" w:after="120"/>
              <w:rPr>
                <w:rFonts w:asciiTheme="minorHAnsi" w:hAnsiTheme="minorHAnsi" w:cstheme="minorHAnsi"/>
                <w:kern w:val="2"/>
                <w:sz w:val="20"/>
                <w:szCs w:val="20"/>
                <w:lang w:eastAsia="en-ZA"/>
                <w14:ligatures w14:val="standardContextual"/>
              </w:rPr>
            </w:pPr>
            <w:r>
              <w:rPr>
                <w:rFonts w:asciiTheme="minorHAnsi" w:hAnsiTheme="minorHAnsi" w:cstheme="minorHAnsi"/>
                <w:kern w:val="2"/>
                <w:sz w:val="20"/>
                <w:szCs w:val="20"/>
                <w:lang w:eastAsia="en-ZA"/>
                <w14:ligatures w14:val="standardContextual"/>
              </w:rPr>
              <w:t>Review, and enforcement of the SCM policy.</w:t>
            </w:r>
          </w:p>
        </w:tc>
        <w:tc>
          <w:tcPr>
            <w:tcW w:w="1667" w:type="pct"/>
            <w:tcBorders>
              <w:top w:val="nil"/>
              <w:bottom w:val="nil"/>
              <w:right w:val="single" w:sz="2" w:space="0" w:color="FFFFFF"/>
              <w:tl2br w:val="nil"/>
              <w:tr2bl w:val="nil"/>
            </w:tcBorders>
            <w:shd w:val="clear" w:color="auto" w:fill="D4E1ED"/>
          </w:tcPr>
          <w:p w14:paraId="30D2878F" w14:textId="77777777" w:rsidR="005A6DBB" w:rsidRDefault="005A6DBB">
            <w:pPr>
              <w:spacing w:before="120" w:after="120"/>
              <w:rPr>
                <w:rFonts w:asciiTheme="minorHAnsi" w:hAnsiTheme="minorHAnsi" w:cstheme="minorHAnsi"/>
                <w:sz w:val="20"/>
                <w:szCs w:val="20"/>
                <w:lang w:eastAsia="en-ZA"/>
              </w:rPr>
            </w:pPr>
          </w:p>
        </w:tc>
        <w:tc>
          <w:tcPr>
            <w:tcW w:w="1666" w:type="pct"/>
            <w:tcBorders>
              <w:top w:val="nil"/>
              <w:bottom w:val="nil"/>
              <w:right w:val="nil"/>
              <w:tl2br w:val="nil"/>
              <w:tr2bl w:val="nil"/>
            </w:tcBorders>
            <w:shd w:val="clear" w:color="auto" w:fill="D4E1ED"/>
          </w:tcPr>
          <w:p w14:paraId="17A73438" w14:textId="77777777" w:rsidR="005A6DBB" w:rsidRDefault="005A6DBB">
            <w:pPr>
              <w:spacing w:before="120" w:after="120"/>
              <w:rPr>
                <w:rFonts w:asciiTheme="minorHAnsi" w:hAnsiTheme="minorHAnsi" w:cstheme="minorHAnsi"/>
                <w:sz w:val="20"/>
                <w:szCs w:val="20"/>
                <w:lang w:eastAsia="en-ZA"/>
              </w:rPr>
            </w:pPr>
          </w:p>
        </w:tc>
      </w:tr>
    </w:tbl>
    <w:p w14:paraId="66D0EC15" w14:textId="77777777" w:rsidR="005A6DBB" w:rsidRDefault="00F93099">
      <w:pPr>
        <w:pStyle w:val="Heading2"/>
      </w:pPr>
      <w:bookmarkStart w:id="150" w:name="_Toc137732245"/>
      <w:r>
        <w:t>SERVICE DELIVERY</w:t>
      </w:r>
      <w:bookmarkEnd w:id="150"/>
    </w:p>
    <w:tbl>
      <w:tblPr>
        <w:tblStyle w:val="BSWordTable2"/>
        <w:tblW w:w="5000" w:type="pct"/>
        <w:tblLook w:val="04A0" w:firstRow="1" w:lastRow="0" w:firstColumn="1" w:lastColumn="0" w:noHBand="0" w:noVBand="1"/>
      </w:tblPr>
      <w:tblGrid>
        <w:gridCol w:w="4669"/>
        <w:gridCol w:w="4665"/>
        <w:gridCol w:w="4668"/>
      </w:tblGrid>
      <w:tr w:rsidR="005A6DBB" w14:paraId="4050DED3" w14:textId="77777777" w:rsidTr="005A6DBB">
        <w:trPr>
          <w:cnfStyle w:val="100000000000" w:firstRow="1" w:lastRow="0" w:firstColumn="0" w:lastColumn="0" w:oddVBand="0" w:evenVBand="0" w:oddHBand="0" w:evenHBand="0" w:firstRowFirstColumn="0" w:firstRowLastColumn="0" w:lastRowFirstColumn="0" w:lastRowLastColumn="0"/>
        </w:trPr>
        <w:tc>
          <w:tcPr>
            <w:tcW w:w="1667" w:type="pct"/>
            <w:tcBorders>
              <w:right w:val="single" w:sz="2" w:space="0" w:color="FFFFFF"/>
            </w:tcBorders>
            <w:shd w:val="clear" w:color="auto" w:fill="002060"/>
          </w:tcPr>
          <w:p w14:paraId="77FDD6D0" w14:textId="77777777" w:rsidR="005A6DBB" w:rsidRDefault="00F93099">
            <w:pPr>
              <w:spacing w:before="120" w:after="120"/>
              <w:jc w:val="center"/>
              <w:rPr>
                <w:rFonts w:cs="Calibri"/>
                <w:b w:val="0"/>
                <w:sz w:val="20"/>
                <w:szCs w:val="20"/>
                <w:lang w:eastAsia="en-ZA"/>
              </w:rPr>
            </w:pPr>
            <w:r>
              <w:rPr>
                <w:rFonts w:cs="Calibri"/>
                <w:sz w:val="20"/>
                <w:szCs w:val="20"/>
                <w:u w:val="single"/>
                <w:lang w:eastAsia="en-ZA"/>
              </w:rPr>
              <w:t>Phase 1: Rescue</w:t>
            </w:r>
          </w:p>
        </w:tc>
        <w:tc>
          <w:tcPr>
            <w:tcW w:w="1666" w:type="pct"/>
            <w:tcBorders>
              <w:right w:val="single" w:sz="2" w:space="0" w:color="FFFFFF"/>
            </w:tcBorders>
            <w:shd w:val="clear" w:color="auto" w:fill="002060"/>
          </w:tcPr>
          <w:p w14:paraId="6026ED0F" w14:textId="77777777" w:rsidR="005A6DBB" w:rsidRDefault="00F93099">
            <w:pPr>
              <w:spacing w:before="120" w:after="120"/>
              <w:jc w:val="center"/>
              <w:rPr>
                <w:rFonts w:cs="Calibri"/>
                <w:b w:val="0"/>
                <w:sz w:val="20"/>
                <w:szCs w:val="20"/>
                <w:u w:val="single"/>
                <w:lang w:eastAsia="en-ZA"/>
              </w:rPr>
            </w:pPr>
            <w:r>
              <w:rPr>
                <w:rFonts w:cs="Calibri"/>
                <w:sz w:val="20"/>
                <w:szCs w:val="20"/>
                <w:u w:val="single"/>
                <w:lang w:eastAsia="en-ZA"/>
              </w:rPr>
              <w:t>Phase 2: Stabilisation</w:t>
            </w:r>
          </w:p>
        </w:tc>
        <w:tc>
          <w:tcPr>
            <w:tcW w:w="1667" w:type="pct"/>
            <w:shd w:val="clear" w:color="auto" w:fill="002060"/>
          </w:tcPr>
          <w:p w14:paraId="50615042" w14:textId="77777777" w:rsidR="005A6DBB" w:rsidRDefault="00F93099">
            <w:pPr>
              <w:spacing w:before="120" w:after="120"/>
              <w:jc w:val="center"/>
              <w:rPr>
                <w:rFonts w:cs="Calibri"/>
                <w:b w:val="0"/>
                <w:sz w:val="20"/>
                <w:szCs w:val="20"/>
                <w:u w:val="single"/>
                <w:lang w:eastAsia="en-ZA"/>
              </w:rPr>
            </w:pPr>
            <w:r>
              <w:rPr>
                <w:rFonts w:cs="Calibri"/>
                <w:sz w:val="20"/>
                <w:szCs w:val="20"/>
                <w:u w:val="single"/>
                <w:lang w:eastAsia="en-ZA"/>
              </w:rPr>
              <w:t>Phase 3: Sustainability</w:t>
            </w:r>
          </w:p>
        </w:tc>
      </w:tr>
      <w:tr w:rsidR="005A6DBB" w14:paraId="405A6617" w14:textId="77777777" w:rsidTr="005A6DBB">
        <w:tc>
          <w:tcPr>
            <w:tcW w:w="1667" w:type="pct"/>
            <w:tcBorders>
              <w:top w:val="nil"/>
              <w:left w:val="nil"/>
              <w:bottom w:val="nil"/>
              <w:right w:val="single" w:sz="2" w:space="0" w:color="FFFFFF"/>
              <w:tl2br w:val="nil"/>
              <w:tr2bl w:val="nil"/>
            </w:tcBorders>
            <w:shd w:val="clear" w:color="auto" w:fill="D4E1ED"/>
          </w:tcPr>
          <w:p w14:paraId="79811F3D" w14:textId="77777777" w:rsidR="005A6DBB" w:rsidRDefault="00F93099">
            <w:pPr>
              <w:spacing w:before="120" w:after="120"/>
              <w:rPr>
                <w:rFonts w:cs="Calibri"/>
                <w:b/>
                <w:bCs/>
                <w:sz w:val="20"/>
                <w:szCs w:val="20"/>
                <w:lang w:eastAsia="en-ZA"/>
              </w:rPr>
            </w:pPr>
            <w:r>
              <w:rPr>
                <w:rFonts w:cs="Calibri"/>
                <w:sz w:val="20"/>
                <w:szCs w:val="20"/>
                <w:lang w:eastAsia="en-ZA"/>
              </w:rPr>
              <w:t>Reset the municipality</w:t>
            </w:r>
          </w:p>
        </w:tc>
        <w:tc>
          <w:tcPr>
            <w:tcW w:w="1666" w:type="pct"/>
            <w:tcBorders>
              <w:top w:val="nil"/>
              <w:bottom w:val="nil"/>
              <w:right w:val="single" w:sz="2" w:space="0" w:color="FFFFFF"/>
              <w:tl2br w:val="nil"/>
              <w:tr2bl w:val="nil"/>
            </w:tcBorders>
            <w:shd w:val="clear" w:color="auto" w:fill="D4E1ED"/>
          </w:tcPr>
          <w:p w14:paraId="69985826" w14:textId="77777777" w:rsidR="005A6DBB" w:rsidRDefault="00F93099">
            <w:pPr>
              <w:spacing w:before="120" w:after="120"/>
              <w:rPr>
                <w:rFonts w:cs="Calibri"/>
                <w:sz w:val="20"/>
                <w:szCs w:val="20"/>
                <w:lang w:eastAsia="en-ZA"/>
              </w:rPr>
            </w:pPr>
            <w:r>
              <w:rPr>
                <w:rFonts w:cs="Calibri"/>
                <w:sz w:val="20"/>
                <w:szCs w:val="20"/>
                <w:lang w:eastAsia="en-ZA"/>
              </w:rPr>
              <w:t>Undertake a Cost of Supply (</w:t>
            </w:r>
            <w:proofErr w:type="spellStart"/>
            <w:r>
              <w:rPr>
                <w:rFonts w:cs="Calibri"/>
                <w:sz w:val="20"/>
                <w:szCs w:val="20"/>
                <w:lang w:eastAsia="en-ZA"/>
              </w:rPr>
              <w:t>CoS</w:t>
            </w:r>
            <w:proofErr w:type="spellEnd"/>
            <w:r>
              <w:rPr>
                <w:rFonts w:cs="Calibri"/>
                <w:sz w:val="20"/>
                <w:szCs w:val="20"/>
                <w:lang w:eastAsia="en-ZA"/>
              </w:rPr>
              <w:t>) study</w:t>
            </w:r>
          </w:p>
        </w:tc>
        <w:tc>
          <w:tcPr>
            <w:tcW w:w="1667" w:type="pct"/>
            <w:tcBorders>
              <w:top w:val="nil"/>
              <w:bottom w:val="nil"/>
              <w:right w:val="nil"/>
              <w:tl2br w:val="nil"/>
              <w:tr2bl w:val="nil"/>
            </w:tcBorders>
            <w:shd w:val="clear" w:color="auto" w:fill="D4E1ED"/>
          </w:tcPr>
          <w:p w14:paraId="147AA6B7" w14:textId="77777777" w:rsidR="005A6DBB" w:rsidRDefault="00F93099">
            <w:pPr>
              <w:spacing w:before="120" w:after="120"/>
              <w:rPr>
                <w:rFonts w:cs="Calibri"/>
                <w:sz w:val="20"/>
                <w:szCs w:val="20"/>
                <w:lang w:eastAsia="en-ZA"/>
              </w:rPr>
            </w:pPr>
            <w:r>
              <w:rPr>
                <w:rFonts w:cs="Calibri"/>
                <w:sz w:val="20"/>
                <w:szCs w:val="20"/>
                <w:lang w:eastAsia="en-ZA"/>
              </w:rPr>
              <w:t>Revenue enhancement project</w:t>
            </w:r>
          </w:p>
        </w:tc>
      </w:tr>
      <w:tr w:rsidR="005A6DBB" w14:paraId="058D50FA" w14:textId="77777777" w:rsidTr="005A6DBB">
        <w:tc>
          <w:tcPr>
            <w:tcW w:w="1667" w:type="pct"/>
            <w:tcBorders>
              <w:top w:val="nil"/>
              <w:left w:val="nil"/>
              <w:bottom w:val="nil"/>
              <w:right w:val="single" w:sz="2" w:space="0" w:color="FFFFFF"/>
              <w:tl2br w:val="nil"/>
              <w:tr2bl w:val="nil"/>
            </w:tcBorders>
            <w:shd w:val="clear" w:color="auto" w:fill="BED3E4"/>
          </w:tcPr>
          <w:p w14:paraId="670B4F41" w14:textId="77777777" w:rsidR="005A6DBB" w:rsidRDefault="00F93099">
            <w:pPr>
              <w:spacing w:before="120" w:after="120"/>
              <w:rPr>
                <w:rFonts w:cs="Calibri"/>
                <w:b/>
                <w:bCs/>
                <w:sz w:val="20"/>
                <w:szCs w:val="20"/>
                <w:lang w:eastAsia="en-ZA"/>
              </w:rPr>
            </w:pPr>
            <w:r>
              <w:rPr>
                <w:rFonts w:cs="Calibri"/>
                <w:sz w:val="20"/>
                <w:szCs w:val="20"/>
                <w:lang w:eastAsia="en-ZA"/>
              </w:rPr>
              <w:t>Rework business processes</w:t>
            </w:r>
          </w:p>
        </w:tc>
        <w:tc>
          <w:tcPr>
            <w:tcW w:w="1666" w:type="pct"/>
            <w:tcBorders>
              <w:top w:val="nil"/>
              <w:bottom w:val="nil"/>
              <w:right w:val="single" w:sz="2" w:space="0" w:color="FFFFFF"/>
              <w:tl2br w:val="nil"/>
              <w:tr2bl w:val="nil"/>
            </w:tcBorders>
            <w:shd w:val="clear" w:color="auto" w:fill="BED3E4"/>
          </w:tcPr>
          <w:p w14:paraId="37EC54B8" w14:textId="77777777" w:rsidR="005A6DBB" w:rsidRDefault="00F93099">
            <w:pPr>
              <w:spacing w:before="120" w:after="120"/>
              <w:rPr>
                <w:rFonts w:cs="Calibri"/>
                <w:sz w:val="20"/>
                <w:szCs w:val="20"/>
                <w:lang w:eastAsia="en-ZA"/>
              </w:rPr>
            </w:pPr>
            <w:r>
              <w:rPr>
                <w:rFonts w:cs="Calibri"/>
                <w:sz w:val="20"/>
                <w:szCs w:val="20"/>
                <w:lang w:eastAsia="en-ZA"/>
              </w:rPr>
              <w:t>Introduce cost reflective tariffs for electricity</w:t>
            </w:r>
          </w:p>
        </w:tc>
        <w:tc>
          <w:tcPr>
            <w:tcW w:w="1667" w:type="pct"/>
            <w:tcBorders>
              <w:top w:val="nil"/>
              <w:bottom w:val="nil"/>
              <w:right w:val="nil"/>
              <w:tl2br w:val="nil"/>
              <w:tr2bl w:val="nil"/>
            </w:tcBorders>
            <w:shd w:val="clear" w:color="auto" w:fill="BED3E4"/>
          </w:tcPr>
          <w:p w14:paraId="007AE419" w14:textId="77777777" w:rsidR="005A6DBB" w:rsidRDefault="00F93099">
            <w:pPr>
              <w:spacing w:before="120" w:after="120"/>
              <w:rPr>
                <w:rFonts w:cs="Calibri"/>
                <w:sz w:val="20"/>
                <w:szCs w:val="20"/>
                <w:lang w:eastAsia="en-ZA"/>
              </w:rPr>
            </w:pPr>
            <w:r>
              <w:rPr>
                <w:rFonts w:cs="Calibri"/>
                <w:sz w:val="20"/>
                <w:szCs w:val="20"/>
                <w:lang w:eastAsia="en-ZA"/>
              </w:rPr>
              <w:t>Water recovery project</w:t>
            </w:r>
          </w:p>
        </w:tc>
      </w:tr>
      <w:tr w:rsidR="005A6DBB" w14:paraId="3317A858" w14:textId="77777777" w:rsidTr="005A6DBB">
        <w:tc>
          <w:tcPr>
            <w:tcW w:w="1667" w:type="pct"/>
            <w:tcBorders>
              <w:top w:val="nil"/>
              <w:left w:val="nil"/>
              <w:bottom w:val="nil"/>
              <w:right w:val="single" w:sz="2" w:space="0" w:color="FFFFFF"/>
              <w:tl2br w:val="nil"/>
              <w:tr2bl w:val="nil"/>
            </w:tcBorders>
            <w:shd w:val="clear" w:color="auto" w:fill="D4E1ED"/>
          </w:tcPr>
          <w:p w14:paraId="19683BA6" w14:textId="77777777" w:rsidR="005A6DBB" w:rsidRDefault="00F93099">
            <w:pPr>
              <w:spacing w:before="120" w:after="120"/>
              <w:rPr>
                <w:rFonts w:cs="Calibri"/>
                <w:b/>
                <w:bCs/>
                <w:sz w:val="20"/>
                <w:szCs w:val="20"/>
                <w:lang w:eastAsia="en-ZA"/>
              </w:rPr>
            </w:pPr>
            <w:r>
              <w:rPr>
                <w:rFonts w:cs="Calibri"/>
                <w:sz w:val="20"/>
                <w:szCs w:val="20"/>
                <w:lang w:eastAsia="en-ZA"/>
              </w:rPr>
              <w:t>Rework organisational structure</w:t>
            </w:r>
          </w:p>
        </w:tc>
        <w:tc>
          <w:tcPr>
            <w:tcW w:w="1666" w:type="pct"/>
            <w:tcBorders>
              <w:top w:val="nil"/>
              <w:bottom w:val="nil"/>
              <w:right w:val="single" w:sz="2" w:space="0" w:color="FFFFFF"/>
              <w:tl2br w:val="nil"/>
              <w:tr2bl w:val="nil"/>
            </w:tcBorders>
            <w:shd w:val="clear" w:color="auto" w:fill="D4E1ED"/>
          </w:tcPr>
          <w:p w14:paraId="4EC51073" w14:textId="77777777" w:rsidR="005A6DBB" w:rsidRDefault="00F93099">
            <w:pPr>
              <w:spacing w:before="120" w:after="120"/>
              <w:rPr>
                <w:rFonts w:cs="Calibri"/>
                <w:sz w:val="20"/>
                <w:szCs w:val="20"/>
                <w:lang w:eastAsia="en-ZA"/>
              </w:rPr>
            </w:pPr>
            <w:r>
              <w:rPr>
                <w:rFonts w:cs="Calibri"/>
                <w:sz w:val="20"/>
                <w:szCs w:val="20"/>
                <w:lang w:eastAsia="en-ZA"/>
              </w:rPr>
              <w:t>Conclude on cost reflective tariffs with Bloem water</w:t>
            </w:r>
          </w:p>
        </w:tc>
        <w:tc>
          <w:tcPr>
            <w:tcW w:w="1667" w:type="pct"/>
            <w:tcBorders>
              <w:top w:val="nil"/>
              <w:bottom w:val="nil"/>
              <w:right w:val="nil"/>
              <w:tl2br w:val="nil"/>
              <w:tr2bl w:val="nil"/>
            </w:tcBorders>
            <w:shd w:val="clear" w:color="auto" w:fill="D4E1ED"/>
          </w:tcPr>
          <w:p w14:paraId="7914EEBC" w14:textId="77777777" w:rsidR="005A6DBB" w:rsidRDefault="00F93099">
            <w:pPr>
              <w:spacing w:before="120" w:after="120"/>
              <w:rPr>
                <w:rFonts w:cs="Calibri"/>
                <w:sz w:val="20"/>
                <w:szCs w:val="20"/>
                <w:lang w:eastAsia="en-ZA"/>
              </w:rPr>
            </w:pPr>
            <w:r>
              <w:rPr>
                <w:rFonts w:cs="Calibri"/>
                <w:sz w:val="20"/>
                <w:szCs w:val="20"/>
                <w:lang w:eastAsia="en-ZA"/>
              </w:rPr>
              <w:t>Focus on asset maintenance</w:t>
            </w:r>
          </w:p>
        </w:tc>
      </w:tr>
      <w:tr w:rsidR="005A6DBB" w14:paraId="714F682E" w14:textId="77777777" w:rsidTr="005A6DBB">
        <w:tc>
          <w:tcPr>
            <w:tcW w:w="1667" w:type="pct"/>
            <w:tcBorders>
              <w:top w:val="nil"/>
              <w:left w:val="nil"/>
              <w:bottom w:val="nil"/>
              <w:right w:val="single" w:sz="2" w:space="0" w:color="FFFFFF"/>
              <w:tl2br w:val="nil"/>
              <w:tr2bl w:val="nil"/>
            </w:tcBorders>
            <w:shd w:val="clear" w:color="auto" w:fill="BED3E4"/>
          </w:tcPr>
          <w:p w14:paraId="2DA21029" w14:textId="77777777" w:rsidR="005A6DBB" w:rsidRDefault="00F93099">
            <w:pPr>
              <w:spacing w:before="120" w:after="120"/>
              <w:rPr>
                <w:rFonts w:cs="Calibri"/>
                <w:b/>
                <w:bCs/>
                <w:sz w:val="20"/>
                <w:szCs w:val="20"/>
                <w:lang w:eastAsia="en-ZA"/>
              </w:rPr>
            </w:pPr>
            <w:r>
              <w:rPr>
                <w:rFonts w:cs="Calibri"/>
                <w:sz w:val="20"/>
                <w:szCs w:val="20"/>
                <w:lang w:eastAsia="en-ZA"/>
              </w:rPr>
              <w:t>Specific and measurable KPA’s and KPI’s</w:t>
            </w:r>
          </w:p>
        </w:tc>
        <w:tc>
          <w:tcPr>
            <w:tcW w:w="1666" w:type="pct"/>
            <w:tcBorders>
              <w:top w:val="nil"/>
              <w:bottom w:val="nil"/>
              <w:right w:val="single" w:sz="2" w:space="0" w:color="FFFFFF"/>
              <w:tl2br w:val="nil"/>
              <w:tr2bl w:val="nil"/>
            </w:tcBorders>
            <w:shd w:val="clear" w:color="auto" w:fill="BED3E4"/>
          </w:tcPr>
          <w:p w14:paraId="3D52C6B7" w14:textId="77777777" w:rsidR="005A6DBB" w:rsidRDefault="00F93099">
            <w:pPr>
              <w:spacing w:before="120" w:after="120"/>
              <w:rPr>
                <w:rFonts w:cs="Calibri"/>
                <w:sz w:val="20"/>
                <w:szCs w:val="20"/>
                <w:lang w:eastAsia="en-ZA"/>
              </w:rPr>
            </w:pPr>
            <w:r>
              <w:rPr>
                <w:rFonts w:cs="Calibri"/>
                <w:sz w:val="20"/>
                <w:szCs w:val="20"/>
                <w:lang w:eastAsia="en-ZA"/>
              </w:rPr>
              <w:t>Initiate water recovery study at wastewater treatment plants</w:t>
            </w:r>
          </w:p>
        </w:tc>
        <w:tc>
          <w:tcPr>
            <w:tcW w:w="1667" w:type="pct"/>
            <w:tcBorders>
              <w:top w:val="nil"/>
              <w:bottom w:val="nil"/>
              <w:right w:val="nil"/>
              <w:tl2br w:val="nil"/>
              <w:tr2bl w:val="nil"/>
            </w:tcBorders>
            <w:shd w:val="clear" w:color="auto" w:fill="BED3E4"/>
          </w:tcPr>
          <w:p w14:paraId="2B9E41CF" w14:textId="77777777" w:rsidR="005A6DBB" w:rsidRDefault="00F93099">
            <w:pPr>
              <w:spacing w:before="120" w:after="120"/>
              <w:rPr>
                <w:rFonts w:cs="Calibri"/>
                <w:sz w:val="20"/>
                <w:szCs w:val="20"/>
                <w:lang w:eastAsia="en-ZA"/>
              </w:rPr>
            </w:pPr>
            <w:r>
              <w:rPr>
                <w:rFonts w:cs="Calibri"/>
                <w:sz w:val="20"/>
                <w:szCs w:val="20"/>
                <w:lang w:eastAsia="en-ZA"/>
              </w:rPr>
              <w:t>Monitoring and reporting on KPA’s and KPI’s</w:t>
            </w:r>
          </w:p>
        </w:tc>
      </w:tr>
      <w:tr w:rsidR="005A6DBB" w14:paraId="252811F8" w14:textId="77777777" w:rsidTr="005A6DBB">
        <w:tc>
          <w:tcPr>
            <w:tcW w:w="1667" w:type="pct"/>
            <w:tcBorders>
              <w:top w:val="nil"/>
              <w:left w:val="nil"/>
              <w:bottom w:val="nil"/>
              <w:right w:val="single" w:sz="2" w:space="0" w:color="FFFFFF"/>
              <w:tl2br w:val="nil"/>
              <w:tr2bl w:val="nil"/>
            </w:tcBorders>
            <w:shd w:val="clear" w:color="auto" w:fill="D4E1ED"/>
          </w:tcPr>
          <w:p w14:paraId="0E5C9F94" w14:textId="77777777" w:rsidR="005A6DBB" w:rsidRDefault="00F93099">
            <w:pPr>
              <w:spacing w:before="120" w:after="120"/>
              <w:rPr>
                <w:rFonts w:cs="Calibri"/>
                <w:b/>
                <w:bCs/>
                <w:sz w:val="20"/>
                <w:szCs w:val="20"/>
                <w:lang w:eastAsia="en-ZA"/>
              </w:rPr>
            </w:pPr>
            <w:r>
              <w:rPr>
                <w:rFonts w:cs="Calibri"/>
                <w:sz w:val="20"/>
                <w:szCs w:val="20"/>
                <w:lang w:eastAsia="en-ZA"/>
              </w:rPr>
              <w:t>Compile Masterplans, Strategic Asset Management Plans, Strategies and Policies</w:t>
            </w:r>
          </w:p>
        </w:tc>
        <w:tc>
          <w:tcPr>
            <w:tcW w:w="1666" w:type="pct"/>
            <w:tcBorders>
              <w:top w:val="nil"/>
              <w:bottom w:val="nil"/>
              <w:right w:val="single" w:sz="2" w:space="0" w:color="FFFFFF"/>
              <w:tl2br w:val="nil"/>
              <w:tr2bl w:val="nil"/>
            </w:tcBorders>
            <w:shd w:val="clear" w:color="auto" w:fill="D4E1ED"/>
          </w:tcPr>
          <w:p w14:paraId="1262B5C7" w14:textId="77777777" w:rsidR="005A6DBB" w:rsidRDefault="00F93099">
            <w:pPr>
              <w:spacing w:before="120" w:after="120"/>
              <w:rPr>
                <w:rFonts w:cs="Calibri"/>
                <w:sz w:val="20"/>
                <w:szCs w:val="20"/>
                <w:lang w:eastAsia="en-ZA"/>
              </w:rPr>
            </w:pPr>
            <w:r>
              <w:rPr>
                <w:rFonts w:cs="Calibri"/>
                <w:sz w:val="20"/>
                <w:szCs w:val="20"/>
                <w:lang w:eastAsia="en-ZA"/>
              </w:rPr>
              <w:t>Conclude on asset management plans for all sectors</w:t>
            </w:r>
          </w:p>
        </w:tc>
        <w:tc>
          <w:tcPr>
            <w:tcW w:w="1667" w:type="pct"/>
            <w:tcBorders>
              <w:top w:val="nil"/>
              <w:bottom w:val="nil"/>
              <w:right w:val="nil"/>
              <w:tl2br w:val="nil"/>
              <w:tr2bl w:val="nil"/>
            </w:tcBorders>
            <w:shd w:val="clear" w:color="auto" w:fill="D4E1ED"/>
          </w:tcPr>
          <w:p w14:paraId="6FE451EE" w14:textId="77777777" w:rsidR="005A6DBB" w:rsidRDefault="00F93099">
            <w:pPr>
              <w:spacing w:before="120" w:after="120"/>
              <w:rPr>
                <w:rFonts w:cs="Calibri"/>
                <w:sz w:val="20"/>
                <w:szCs w:val="20"/>
                <w:lang w:eastAsia="en-ZA"/>
              </w:rPr>
            </w:pPr>
            <w:r>
              <w:rPr>
                <w:rFonts w:cs="Calibri"/>
                <w:sz w:val="20"/>
                <w:szCs w:val="20"/>
                <w:lang w:eastAsia="en-ZA"/>
              </w:rPr>
              <w:t>Review and approve and refinements</w:t>
            </w:r>
          </w:p>
        </w:tc>
      </w:tr>
      <w:tr w:rsidR="005A6DBB" w14:paraId="5D6166A5" w14:textId="77777777" w:rsidTr="005A6DBB">
        <w:tc>
          <w:tcPr>
            <w:tcW w:w="1667" w:type="pct"/>
            <w:tcBorders>
              <w:top w:val="nil"/>
              <w:left w:val="nil"/>
              <w:bottom w:val="nil"/>
              <w:right w:val="single" w:sz="2" w:space="0" w:color="FFFFFF"/>
              <w:tl2br w:val="nil"/>
              <w:tr2bl w:val="nil"/>
            </w:tcBorders>
            <w:shd w:val="clear" w:color="auto" w:fill="BED3E4"/>
          </w:tcPr>
          <w:p w14:paraId="0D463056" w14:textId="77777777" w:rsidR="005A6DBB" w:rsidRDefault="00F93099">
            <w:pPr>
              <w:spacing w:before="120" w:after="120"/>
              <w:rPr>
                <w:rFonts w:cs="Calibri"/>
                <w:b/>
                <w:bCs/>
                <w:sz w:val="20"/>
                <w:szCs w:val="20"/>
                <w:lang w:eastAsia="en-ZA"/>
              </w:rPr>
            </w:pPr>
            <w:r>
              <w:rPr>
                <w:rFonts w:cs="Calibri"/>
                <w:sz w:val="20"/>
                <w:szCs w:val="20"/>
                <w:lang w:eastAsia="en-ZA"/>
              </w:rPr>
              <w:t>Incorporate CENTLEC into the Municipality</w:t>
            </w:r>
          </w:p>
        </w:tc>
        <w:tc>
          <w:tcPr>
            <w:tcW w:w="1666" w:type="pct"/>
            <w:tcBorders>
              <w:top w:val="nil"/>
              <w:bottom w:val="nil"/>
              <w:right w:val="single" w:sz="2" w:space="0" w:color="FFFFFF"/>
              <w:tl2br w:val="nil"/>
              <w:tr2bl w:val="nil"/>
            </w:tcBorders>
            <w:shd w:val="clear" w:color="auto" w:fill="BED3E4"/>
          </w:tcPr>
          <w:p w14:paraId="58B91388" w14:textId="77777777" w:rsidR="005A6DBB" w:rsidRDefault="00F93099">
            <w:pPr>
              <w:spacing w:before="120" w:after="120"/>
              <w:rPr>
                <w:rFonts w:cs="Calibri"/>
                <w:sz w:val="20"/>
                <w:szCs w:val="20"/>
                <w:lang w:eastAsia="en-ZA"/>
              </w:rPr>
            </w:pPr>
            <w:r>
              <w:rPr>
                <w:rFonts w:cs="Calibri"/>
                <w:sz w:val="20"/>
                <w:szCs w:val="20"/>
                <w:lang w:eastAsia="en-ZA"/>
              </w:rPr>
              <w:t>Undertake a viability study on waste recovery revenues</w:t>
            </w:r>
          </w:p>
        </w:tc>
        <w:tc>
          <w:tcPr>
            <w:tcW w:w="1667" w:type="pct"/>
            <w:tcBorders>
              <w:top w:val="nil"/>
              <w:bottom w:val="nil"/>
              <w:right w:val="nil"/>
              <w:tl2br w:val="nil"/>
              <w:tr2bl w:val="nil"/>
            </w:tcBorders>
            <w:shd w:val="clear" w:color="auto" w:fill="BED3E4"/>
          </w:tcPr>
          <w:p w14:paraId="4F2F1C66" w14:textId="77777777" w:rsidR="005A6DBB" w:rsidRDefault="00F93099">
            <w:pPr>
              <w:spacing w:before="120" w:after="120"/>
              <w:rPr>
                <w:rFonts w:cs="Calibri"/>
                <w:sz w:val="20"/>
                <w:szCs w:val="20"/>
                <w:lang w:eastAsia="en-ZA"/>
              </w:rPr>
            </w:pPr>
            <w:r>
              <w:rPr>
                <w:rFonts w:cs="Calibri"/>
                <w:sz w:val="20"/>
                <w:szCs w:val="20"/>
                <w:lang w:eastAsia="en-ZA"/>
              </w:rPr>
              <w:t>Monitoring of revenue enhancement project outcomes</w:t>
            </w:r>
          </w:p>
        </w:tc>
      </w:tr>
      <w:tr w:rsidR="005A6DBB" w14:paraId="7FD44A5D" w14:textId="77777777" w:rsidTr="005A6DBB">
        <w:tc>
          <w:tcPr>
            <w:tcW w:w="1667" w:type="pct"/>
            <w:tcBorders>
              <w:top w:val="nil"/>
              <w:left w:val="nil"/>
              <w:bottom w:val="nil"/>
              <w:right w:val="single" w:sz="2" w:space="0" w:color="FFFFFF"/>
              <w:tl2br w:val="nil"/>
              <w:tr2bl w:val="nil"/>
            </w:tcBorders>
            <w:shd w:val="clear" w:color="auto" w:fill="D4E1ED"/>
          </w:tcPr>
          <w:p w14:paraId="7CABAFDD" w14:textId="77777777" w:rsidR="005A6DBB" w:rsidRDefault="00F93099">
            <w:pPr>
              <w:spacing w:before="120" w:after="120"/>
              <w:rPr>
                <w:rFonts w:cs="Calibri"/>
                <w:b/>
                <w:bCs/>
                <w:sz w:val="20"/>
                <w:szCs w:val="20"/>
                <w:lang w:eastAsia="en-ZA"/>
              </w:rPr>
            </w:pPr>
            <w:r>
              <w:rPr>
                <w:rFonts w:cs="Calibri"/>
                <w:sz w:val="20"/>
                <w:szCs w:val="20"/>
                <w:lang w:eastAsia="en-ZA"/>
              </w:rPr>
              <w:t>Secure key strategic assets against theft and vandalism</w:t>
            </w:r>
          </w:p>
        </w:tc>
        <w:tc>
          <w:tcPr>
            <w:tcW w:w="1666" w:type="pct"/>
            <w:tcBorders>
              <w:top w:val="nil"/>
              <w:bottom w:val="nil"/>
              <w:right w:val="single" w:sz="2" w:space="0" w:color="FFFFFF"/>
              <w:tl2br w:val="nil"/>
              <w:tr2bl w:val="nil"/>
            </w:tcBorders>
            <w:shd w:val="clear" w:color="auto" w:fill="D4E1ED"/>
          </w:tcPr>
          <w:p w14:paraId="6186AF03" w14:textId="77777777" w:rsidR="005A6DBB" w:rsidRDefault="00F93099">
            <w:pPr>
              <w:spacing w:before="120" w:after="120"/>
              <w:rPr>
                <w:rFonts w:cs="Calibri"/>
                <w:sz w:val="20"/>
                <w:szCs w:val="20"/>
                <w:lang w:eastAsia="en-ZA"/>
              </w:rPr>
            </w:pPr>
            <w:r>
              <w:rPr>
                <w:rFonts w:cs="Calibri"/>
                <w:sz w:val="20"/>
                <w:szCs w:val="20"/>
                <w:lang w:eastAsia="en-ZA"/>
              </w:rPr>
              <w:t>Institute time and attendance software</w:t>
            </w:r>
          </w:p>
        </w:tc>
        <w:tc>
          <w:tcPr>
            <w:tcW w:w="1667" w:type="pct"/>
            <w:tcBorders>
              <w:top w:val="nil"/>
              <w:bottom w:val="nil"/>
              <w:right w:val="nil"/>
              <w:tl2br w:val="nil"/>
              <w:tr2bl w:val="nil"/>
            </w:tcBorders>
            <w:shd w:val="clear" w:color="auto" w:fill="D4E1ED"/>
          </w:tcPr>
          <w:p w14:paraId="06F4FE81" w14:textId="77777777" w:rsidR="005A6DBB" w:rsidRDefault="00F93099">
            <w:pPr>
              <w:spacing w:before="120" w:after="120"/>
              <w:rPr>
                <w:rFonts w:cs="Calibri"/>
                <w:sz w:val="20"/>
                <w:szCs w:val="20"/>
                <w:lang w:eastAsia="en-ZA"/>
              </w:rPr>
            </w:pPr>
            <w:r>
              <w:rPr>
                <w:rFonts w:cs="Calibri"/>
                <w:sz w:val="20"/>
                <w:szCs w:val="20"/>
                <w:lang w:eastAsia="en-ZA"/>
              </w:rPr>
              <w:t>Conclude with water recovery project</w:t>
            </w:r>
          </w:p>
        </w:tc>
      </w:tr>
      <w:tr w:rsidR="005A6DBB" w14:paraId="15871810" w14:textId="77777777" w:rsidTr="005A6DBB">
        <w:tc>
          <w:tcPr>
            <w:tcW w:w="1667" w:type="pct"/>
            <w:tcBorders>
              <w:top w:val="nil"/>
              <w:left w:val="nil"/>
              <w:bottom w:val="nil"/>
              <w:right w:val="single" w:sz="2" w:space="0" w:color="FFFFFF"/>
              <w:tl2br w:val="nil"/>
              <w:tr2bl w:val="nil"/>
            </w:tcBorders>
            <w:shd w:val="clear" w:color="auto" w:fill="BED3E4"/>
          </w:tcPr>
          <w:p w14:paraId="0E35D823" w14:textId="77777777" w:rsidR="005A6DBB" w:rsidRDefault="00F93099">
            <w:pPr>
              <w:spacing w:before="120" w:after="120"/>
              <w:rPr>
                <w:rFonts w:cs="Calibri"/>
                <w:sz w:val="20"/>
                <w:szCs w:val="20"/>
                <w:lang w:eastAsia="en-ZA"/>
              </w:rPr>
            </w:pPr>
            <w:r>
              <w:rPr>
                <w:rFonts w:cs="Calibri"/>
                <w:sz w:val="20"/>
                <w:szCs w:val="20"/>
                <w:lang w:eastAsia="en-ZA"/>
              </w:rPr>
              <w:t>Undertake an asset verification and condition assignment</w:t>
            </w:r>
          </w:p>
        </w:tc>
        <w:tc>
          <w:tcPr>
            <w:tcW w:w="1666" w:type="pct"/>
            <w:tcBorders>
              <w:top w:val="nil"/>
              <w:bottom w:val="nil"/>
              <w:right w:val="single" w:sz="2" w:space="0" w:color="FFFFFF"/>
              <w:tl2br w:val="nil"/>
              <w:tr2bl w:val="nil"/>
            </w:tcBorders>
            <w:shd w:val="clear" w:color="auto" w:fill="BED3E4"/>
          </w:tcPr>
          <w:p w14:paraId="42B15E0D" w14:textId="77777777" w:rsidR="005A6DBB" w:rsidRDefault="00F93099">
            <w:pPr>
              <w:spacing w:before="120" w:after="120"/>
              <w:rPr>
                <w:rFonts w:cs="Calibri"/>
                <w:sz w:val="20"/>
                <w:szCs w:val="20"/>
                <w:lang w:eastAsia="en-ZA"/>
              </w:rPr>
            </w:pPr>
            <w:r>
              <w:rPr>
                <w:rFonts w:cs="Calibri"/>
                <w:sz w:val="20"/>
                <w:szCs w:val="20"/>
                <w:lang w:eastAsia="en-ZA"/>
              </w:rPr>
              <w:t>Grow other revenue streams such as the Market, traffic offences and building plans</w:t>
            </w:r>
          </w:p>
        </w:tc>
        <w:tc>
          <w:tcPr>
            <w:tcW w:w="1667" w:type="pct"/>
            <w:tcBorders>
              <w:top w:val="nil"/>
              <w:bottom w:val="nil"/>
              <w:right w:val="nil"/>
              <w:tl2br w:val="nil"/>
              <w:tr2bl w:val="nil"/>
            </w:tcBorders>
            <w:shd w:val="clear" w:color="auto" w:fill="BED3E4"/>
          </w:tcPr>
          <w:p w14:paraId="2972006D" w14:textId="77777777" w:rsidR="005A6DBB" w:rsidRDefault="00F93099">
            <w:pPr>
              <w:spacing w:before="120" w:after="120"/>
              <w:rPr>
                <w:rFonts w:cs="Calibri"/>
                <w:sz w:val="20"/>
                <w:szCs w:val="20"/>
                <w:lang w:eastAsia="en-ZA"/>
              </w:rPr>
            </w:pPr>
            <w:r>
              <w:rPr>
                <w:rFonts w:cs="Calibri"/>
                <w:sz w:val="20"/>
                <w:szCs w:val="20"/>
                <w:lang w:eastAsia="en-ZA"/>
              </w:rPr>
              <w:t>Sustain new revenue streams</w:t>
            </w:r>
          </w:p>
        </w:tc>
      </w:tr>
      <w:tr w:rsidR="005A6DBB" w14:paraId="29C47DE2" w14:textId="77777777" w:rsidTr="005A6DBB">
        <w:tc>
          <w:tcPr>
            <w:tcW w:w="1667" w:type="pct"/>
            <w:tcBorders>
              <w:top w:val="nil"/>
              <w:left w:val="nil"/>
              <w:bottom w:val="nil"/>
              <w:right w:val="single" w:sz="2" w:space="0" w:color="FFFFFF"/>
              <w:tl2br w:val="nil"/>
              <w:tr2bl w:val="nil"/>
            </w:tcBorders>
            <w:shd w:val="clear" w:color="auto" w:fill="D4E1ED"/>
          </w:tcPr>
          <w:p w14:paraId="7AB2D5B5" w14:textId="77777777" w:rsidR="005A6DBB" w:rsidRDefault="00F93099">
            <w:pPr>
              <w:spacing w:before="120" w:after="120"/>
              <w:rPr>
                <w:rFonts w:cs="Calibri"/>
                <w:b/>
                <w:sz w:val="20"/>
                <w:szCs w:val="20"/>
                <w:lang w:eastAsia="en-ZA"/>
              </w:rPr>
            </w:pPr>
            <w:r>
              <w:rPr>
                <w:rFonts w:cs="Calibri"/>
                <w:sz w:val="20"/>
                <w:szCs w:val="20"/>
                <w:lang w:eastAsia="en-ZA"/>
              </w:rPr>
              <w:t>Prioritise projects identified and allocate budgets</w:t>
            </w:r>
          </w:p>
        </w:tc>
        <w:tc>
          <w:tcPr>
            <w:tcW w:w="1666" w:type="pct"/>
            <w:tcBorders>
              <w:top w:val="nil"/>
              <w:bottom w:val="nil"/>
              <w:right w:val="single" w:sz="2" w:space="0" w:color="FFFFFF"/>
              <w:tl2br w:val="nil"/>
              <w:tr2bl w:val="nil"/>
            </w:tcBorders>
            <w:shd w:val="clear" w:color="auto" w:fill="D4E1ED"/>
          </w:tcPr>
          <w:p w14:paraId="39BD6DED" w14:textId="77777777" w:rsidR="005A6DBB" w:rsidRDefault="00F93099">
            <w:pPr>
              <w:spacing w:before="120" w:after="120"/>
              <w:rPr>
                <w:rFonts w:cs="Calibri"/>
                <w:sz w:val="20"/>
                <w:szCs w:val="20"/>
                <w:lang w:eastAsia="en-ZA"/>
              </w:rPr>
            </w:pPr>
            <w:r>
              <w:rPr>
                <w:rFonts w:cs="Calibri"/>
                <w:sz w:val="20"/>
                <w:szCs w:val="20"/>
                <w:lang w:eastAsia="en-ZA"/>
              </w:rPr>
              <w:t>Embark on a smart meter replacement program for Electricity and Water meters</w:t>
            </w:r>
          </w:p>
        </w:tc>
        <w:tc>
          <w:tcPr>
            <w:tcW w:w="1667" w:type="pct"/>
            <w:tcBorders>
              <w:top w:val="nil"/>
              <w:bottom w:val="nil"/>
              <w:right w:val="nil"/>
              <w:tl2br w:val="nil"/>
              <w:tr2bl w:val="nil"/>
            </w:tcBorders>
            <w:shd w:val="clear" w:color="auto" w:fill="D4E1ED"/>
          </w:tcPr>
          <w:p w14:paraId="332EE99A" w14:textId="77777777" w:rsidR="005A6DBB" w:rsidRDefault="00F93099">
            <w:pPr>
              <w:keepNext/>
              <w:spacing w:before="120" w:after="120"/>
              <w:rPr>
                <w:rFonts w:cs="Calibri"/>
                <w:sz w:val="20"/>
                <w:szCs w:val="20"/>
                <w:lang w:eastAsia="en-ZA"/>
              </w:rPr>
            </w:pPr>
            <w:r>
              <w:rPr>
                <w:rFonts w:cs="Calibri"/>
                <w:sz w:val="20"/>
                <w:szCs w:val="20"/>
                <w:lang w:eastAsia="en-ZA"/>
              </w:rPr>
              <w:t>Assess and revaluate effectiveness of the implementation of the FRP</w:t>
            </w:r>
          </w:p>
        </w:tc>
      </w:tr>
    </w:tbl>
    <w:p w14:paraId="721DFEC5" w14:textId="77777777" w:rsidR="005A6DBB" w:rsidRDefault="00F93099">
      <w:pPr>
        <w:spacing w:before="120" w:after="120"/>
        <w:rPr>
          <w:lang w:eastAsia="en-ZA"/>
        </w:rPr>
      </w:pPr>
      <w:r>
        <w:rPr>
          <w:lang w:eastAsia="en-ZA"/>
        </w:rPr>
        <w:t>The actions above are only key elements from the status quo assessment, and will be further analysed, adjusted and modified to MMM’s requirements during the development of the financial recovery detail implementation plan.</w:t>
      </w:r>
    </w:p>
    <w:p w14:paraId="03C3CA33" w14:textId="77777777" w:rsidR="005A6DBB" w:rsidRDefault="005A6DBB">
      <w:pPr>
        <w:spacing w:before="120" w:after="120"/>
        <w:rPr>
          <w:lang w:eastAsia="en-ZA"/>
        </w:rPr>
      </w:pPr>
    </w:p>
    <w:p w14:paraId="0930B91C" w14:textId="77777777" w:rsidR="005A6DBB" w:rsidRDefault="00F93099">
      <w:pPr>
        <w:spacing w:before="120" w:after="120"/>
        <w:rPr>
          <w:lang w:eastAsia="en-ZA"/>
        </w:rPr>
      </w:pPr>
      <w:r>
        <w:rPr>
          <w:lang w:eastAsia="en-ZA"/>
        </w:rPr>
        <w:br w:type="page"/>
      </w:r>
    </w:p>
    <w:p w14:paraId="0B408F97" w14:textId="77777777" w:rsidR="005A6DBB" w:rsidRDefault="005A6DBB">
      <w:pPr>
        <w:sectPr w:rsidR="005A6DBB">
          <w:headerReference w:type="default" r:id="rId67"/>
          <w:footerReference w:type="default" r:id="rId68"/>
          <w:headerReference w:type="first" r:id="rId69"/>
          <w:footerReference w:type="first" r:id="rId70"/>
          <w:pgSz w:w="16838" w:h="11906" w:orient="landscape"/>
          <w:pgMar w:top="1418" w:right="1418" w:bottom="1276" w:left="1418" w:header="851" w:footer="0" w:gutter="0"/>
          <w:cols w:space="708"/>
          <w:titlePg/>
          <w:docGrid w:linePitch="360"/>
        </w:sectPr>
      </w:pPr>
    </w:p>
    <w:p w14:paraId="46D14FCC" w14:textId="77777777" w:rsidR="005A6DBB" w:rsidRDefault="00F93099">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51" w:name="_Toc137732246"/>
      <w:r>
        <w:rPr>
          <w:rFonts w:asciiTheme="minorHAnsi" w:hAnsiTheme="minorHAnsi"/>
        </w:rPr>
        <w:t>ANNEXTURE B: FINANCIAL RATIO’S</w:t>
      </w:r>
      <w:bookmarkEnd w:id="151"/>
      <w:r>
        <w:rPr>
          <w:rFonts w:asciiTheme="minorHAnsi" w:hAnsiTheme="minorHAnsi"/>
        </w:rPr>
        <w:tab/>
      </w:r>
    </w:p>
    <w:tbl>
      <w:tblPr>
        <w:tblW w:w="13887" w:type="dxa"/>
        <w:tblLook w:val="04A0" w:firstRow="1" w:lastRow="0" w:firstColumn="1" w:lastColumn="0" w:noHBand="0" w:noVBand="1"/>
      </w:tblPr>
      <w:tblGrid>
        <w:gridCol w:w="1793"/>
        <w:gridCol w:w="3940"/>
        <w:gridCol w:w="836"/>
        <w:gridCol w:w="1244"/>
        <w:gridCol w:w="1244"/>
        <w:gridCol w:w="1248"/>
        <w:gridCol w:w="1185"/>
        <w:gridCol w:w="1185"/>
        <w:gridCol w:w="1212"/>
      </w:tblGrid>
      <w:tr w:rsidR="005A6DBB" w14:paraId="23670183" w14:textId="77777777">
        <w:trPr>
          <w:trHeight w:val="312"/>
          <w:tblHeader/>
        </w:trPr>
        <w:tc>
          <w:tcPr>
            <w:tcW w:w="65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tcPr>
          <w:p w14:paraId="66EF2AEF" w14:textId="77777777" w:rsidR="005A6DBB" w:rsidRDefault="00F93099">
            <w:pPr>
              <w:spacing w:line="240" w:lineRule="auto"/>
              <w:jc w:val="center"/>
              <w:rPr>
                <w:rFonts w:cs="Calibri"/>
                <w:b/>
                <w:bCs/>
                <w:sz w:val="16"/>
                <w:szCs w:val="16"/>
              </w:rPr>
            </w:pPr>
            <w:r>
              <w:rPr>
                <w:rFonts w:cs="Calibri"/>
                <w:b/>
                <w:bCs/>
                <w:sz w:val="16"/>
                <w:szCs w:val="16"/>
              </w:rPr>
              <w:t>Ratio Analysis Report</w:t>
            </w:r>
          </w:p>
        </w:tc>
        <w:tc>
          <w:tcPr>
            <w:tcW w:w="2488" w:type="dxa"/>
            <w:gridSpan w:val="2"/>
            <w:tcBorders>
              <w:top w:val="single" w:sz="4" w:space="0" w:color="auto"/>
              <w:left w:val="nil"/>
              <w:bottom w:val="single" w:sz="4" w:space="0" w:color="auto"/>
              <w:right w:val="nil"/>
            </w:tcBorders>
            <w:shd w:val="clear" w:color="000000" w:fill="D9D9D9"/>
            <w:noWrap/>
            <w:vAlign w:val="center"/>
          </w:tcPr>
          <w:p w14:paraId="004F0D43" w14:textId="77777777" w:rsidR="005A6DBB" w:rsidRDefault="00F93099">
            <w:pPr>
              <w:spacing w:line="240" w:lineRule="auto"/>
              <w:jc w:val="center"/>
              <w:rPr>
                <w:rFonts w:cs="Calibri"/>
                <w:b/>
                <w:bCs/>
                <w:sz w:val="16"/>
                <w:szCs w:val="16"/>
              </w:rPr>
            </w:pPr>
            <w:r>
              <w:rPr>
                <w:rFonts w:cs="Calibri"/>
                <w:b/>
                <w:bCs/>
                <w:sz w:val="16"/>
                <w:szCs w:val="16"/>
              </w:rPr>
              <w:t>Restated</w:t>
            </w:r>
          </w:p>
        </w:tc>
        <w:tc>
          <w:tcPr>
            <w:tcW w:w="1248" w:type="dxa"/>
            <w:tcBorders>
              <w:top w:val="single" w:sz="4" w:space="0" w:color="auto"/>
              <w:left w:val="nil"/>
              <w:bottom w:val="single" w:sz="4" w:space="0" w:color="auto"/>
              <w:right w:val="single" w:sz="4" w:space="0" w:color="auto"/>
            </w:tcBorders>
            <w:shd w:val="clear" w:color="000000" w:fill="D9D9D9"/>
            <w:noWrap/>
            <w:vAlign w:val="center"/>
          </w:tcPr>
          <w:p w14:paraId="73BC6F2C" w14:textId="77777777" w:rsidR="005A6DBB" w:rsidRDefault="00F93099">
            <w:pPr>
              <w:spacing w:line="240" w:lineRule="auto"/>
              <w:jc w:val="center"/>
              <w:rPr>
                <w:rFonts w:cs="Calibri"/>
                <w:b/>
                <w:bCs/>
                <w:sz w:val="16"/>
                <w:szCs w:val="16"/>
              </w:rPr>
            </w:pPr>
            <w:r>
              <w:rPr>
                <w:rFonts w:cs="Calibri"/>
                <w:b/>
                <w:bCs/>
                <w:sz w:val="16"/>
                <w:szCs w:val="16"/>
              </w:rPr>
              <w:t>Audited</w:t>
            </w:r>
          </w:p>
        </w:tc>
        <w:tc>
          <w:tcPr>
            <w:tcW w:w="3582" w:type="dxa"/>
            <w:gridSpan w:val="3"/>
            <w:tcBorders>
              <w:top w:val="single" w:sz="4" w:space="0" w:color="auto"/>
              <w:left w:val="nil"/>
              <w:bottom w:val="single" w:sz="4" w:space="0" w:color="auto"/>
              <w:right w:val="single" w:sz="4" w:space="0" w:color="000000"/>
            </w:tcBorders>
            <w:shd w:val="clear" w:color="000000" w:fill="D9D9D9"/>
            <w:vAlign w:val="center"/>
          </w:tcPr>
          <w:p w14:paraId="1F01CECB" w14:textId="77777777" w:rsidR="005A6DBB" w:rsidRDefault="00F93099">
            <w:pPr>
              <w:spacing w:line="240" w:lineRule="auto"/>
              <w:jc w:val="center"/>
              <w:rPr>
                <w:rFonts w:cs="Calibri"/>
                <w:b/>
                <w:bCs/>
                <w:sz w:val="16"/>
                <w:szCs w:val="16"/>
              </w:rPr>
            </w:pPr>
            <w:r>
              <w:rPr>
                <w:rFonts w:cs="Calibri"/>
                <w:b/>
                <w:bCs/>
                <w:sz w:val="16"/>
                <w:szCs w:val="16"/>
              </w:rPr>
              <w:t>Budget</w:t>
            </w:r>
          </w:p>
        </w:tc>
      </w:tr>
      <w:tr w:rsidR="005A6DBB" w14:paraId="36FFE77A" w14:textId="77777777">
        <w:trPr>
          <w:trHeight w:val="312"/>
          <w:tblHeader/>
        </w:trPr>
        <w:tc>
          <w:tcPr>
            <w:tcW w:w="5733"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41B1C82B" w14:textId="77777777" w:rsidR="005A6DBB" w:rsidRDefault="00F93099">
            <w:pPr>
              <w:spacing w:line="240" w:lineRule="auto"/>
              <w:jc w:val="left"/>
              <w:rPr>
                <w:rFonts w:cs="Calibri"/>
                <w:szCs w:val="22"/>
              </w:rPr>
            </w:pPr>
            <w:r>
              <w:rPr>
                <w:rFonts w:cs="Calibri"/>
                <w:szCs w:val="22"/>
              </w:rPr>
              <w:t> </w:t>
            </w:r>
          </w:p>
        </w:tc>
        <w:tc>
          <w:tcPr>
            <w:tcW w:w="836" w:type="dxa"/>
            <w:tcBorders>
              <w:top w:val="nil"/>
              <w:left w:val="nil"/>
              <w:bottom w:val="single" w:sz="4" w:space="0" w:color="auto"/>
              <w:right w:val="single" w:sz="4" w:space="0" w:color="auto"/>
            </w:tcBorders>
            <w:shd w:val="clear" w:color="000000" w:fill="D9D9D9"/>
            <w:noWrap/>
            <w:vAlign w:val="center"/>
          </w:tcPr>
          <w:p w14:paraId="5C5901B2" w14:textId="77777777" w:rsidR="005A6DBB" w:rsidRDefault="00F93099">
            <w:pPr>
              <w:spacing w:line="240" w:lineRule="auto"/>
              <w:jc w:val="center"/>
              <w:rPr>
                <w:rFonts w:cs="Calibri"/>
                <w:b/>
                <w:bCs/>
                <w:sz w:val="16"/>
                <w:szCs w:val="16"/>
              </w:rPr>
            </w:pPr>
            <w:r>
              <w:rPr>
                <w:rFonts w:cs="Calibri"/>
                <w:b/>
                <w:bCs/>
                <w:sz w:val="16"/>
                <w:szCs w:val="16"/>
              </w:rPr>
              <w:t>Norm</w:t>
            </w:r>
          </w:p>
        </w:tc>
        <w:tc>
          <w:tcPr>
            <w:tcW w:w="1244" w:type="dxa"/>
            <w:tcBorders>
              <w:top w:val="nil"/>
              <w:left w:val="nil"/>
              <w:bottom w:val="single" w:sz="4" w:space="0" w:color="auto"/>
              <w:right w:val="single" w:sz="4" w:space="0" w:color="auto"/>
            </w:tcBorders>
            <w:shd w:val="clear" w:color="000000" w:fill="D9D9D9"/>
            <w:noWrap/>
            <w:vAlign w:val="center"/>
          </w:tcPr>
          <w:p w14:paraId="5DA2EEF7" w14:textId="77777777" w:rsidR="005A6DBB" w:rsidRDefault="00F93099">
            <w:pPr>
              <w:spacing w:line="240" w:lineRule="auto"/>
              <w:jc w:val="center"/>
              <w:rPr>
                <w:rFonts w:cs="Calibri"/>
                <w:b/>
                <w:bCs/>
                <w:sz w:val="16"/>
                <w:szCs w:val="16"/>
              </w:rPr>
            </w:pPr>
            <w:r>
              <w:rPr>
                <w:rFonts w:cs="Calibri"/>
                <w:b/>
                <w:bCs/>
                <w:sz w:val="16"/>
                <w:szCs w:val="16"/>
              </w:rPr>
              <w:t>2020</w:t>
            </w:r>
          </w:p>
        </w:tc>
        <w:tc>
          <w:tcPr>
            <w:tcW w:w="1244" w:type="dxa"/>
            <w:tcBorders>
              <w:top w:val="nil"/>
              <w:left w:val="nil"/>
              <w:bottom w:val="single" w:sz="4" w:space="0" w:color="auto"/>
              <w:right w:val="single" w:sz="4" w:space="0" w:color="auto"/>
            </w:tcBorders>
            <w:shd w:val="clear" w:color="000000" w:fill="D9D9D9"/>
            <w:noWrap/>
            <w:vAlign w:val="center"/>
          </w:tcPr>
          <w:p w14:paraId="4EB669BF" w14:textId="77777777" w:rsidR="005A6DBB" w:rsidRDefault="00F93099">
            <w:pPr>
              <w:spacing w:line="240" w:lineRule="auto"/>
              <w:jc w:val="center"/>
              <w:rPr>
                <w:rFonts w:cs="Calibri"/>
                <w:b/>
                <w:bCs/>
                <w:sz w:val="16"/>
                <w:szCs w:val="16"/>
              </w:rPr>
            </w:pPr>
            <w:r>
              <w:rPr>
                <w:rFonts w:cs="Calibri"/>
                <w:b/>
                <w:bCs/>
                <w:sz w:val="16"/>
                <w:szCs w:val="16"/>
              </w:rPr>
              <w:t>2021</w:t>
            </w:r>
          </w:p>
        </w:tc>
        <w:tc>
          <w:tcPr>
            <w:tcW w:w="1248" w:type="dxa"/>
            <w:tcBorders>
              <w:top w:val="nil"/>
              <w:left w:val="nil"/>
              <w:bottom w:val="single" w:sz="4" w:space="0" w:color="auto"/>
              <w:right w:val="single" w:sz="4" w:space="0" w:color="auto"/>
            </w:tcBorders>
            <w:shd w:val="clear" w:color="000000" w:fill="D9D9D9"/>
            <w:noWrap/>
            <w:vAlign w:val="center"/>
          </w:tcPr>
          <w:p w14:paraId="4703B36E" w14:textId="77777777" w:rsidR="005A6DBB" w:rsidRDefault="00F93099">
            <w:pPr>
              <w:spacing w:line="240" w:lineRule="auto"/>
              <w:jc w:val="center"/>
              <w:rPr>
                <w:rFonts w:cs="Calibri"/>
                <w:b/>
                <w:bCs/>
                <w:sz w:val="16"/>
                <w:szCs w:val="16"/>
              </w:rPr>
            </w:pPr>
            <w:r>
              <w:rPr>
                <w:rFonts w:cs="Calibri"/>
                <w:b/>
                <w:bCs/>
                <w:sz w:val="16"/>
                <w:szCs w:val="16"/>
              </w:rPr>
              <w:t>2022</w:t>
            </w:r>
          </w:p>
        </w:tc>
        <w:tc>
          <w:tcPr>
            <w:tcW w:w="1185" w:type="dxa"/>
            <w:tcBorders>
              <w:top w:val="nil"/>
              <w:left w:val="nil"/>
              <w:bottom w:val="single" w:sz="4" w:space="0" w:color="auto"/>
              <w:right w:val="single" w:sz="4" w:space="0" w:color="auto"/>
            </w:tcBorders>
            <w:shd w:val="clear" w:color="000000" w:fill="D9D9D9"/>
            <w:noWrap/>
            <w:vAlign w:val="center"/>
          </w:tcPr>
          <w:p w14:paraId="74076424" w14:textId="77777777" w:rsidR="005A6DBB" w:rsidRDefault="00F93099">
            <w:pPr>
              <w:spacing w:line="240" w:lineRule="auto"/>
              <w:jc w:val="center"/>
              <w:rPr>
                <w:rFonts w:cs="Calibri"/>
                <w:b/>
                <w:bCs/>
                <w:sz w:val="16"/>
                <w:szCs w:val="16"/>
              </w:rPr>
            </w:pPr>
            <w:r>
              <w:rPr>
                <w:rFonts w:cs="Calibri"/>
                <w:b/>
                <w:bCs/>
                <w:sz w:val="16"/>
                <w:szCs w:val="16"/>
              </w:rPr>
              <w:t>2023</w:t>
            </w:r>
          </w:p>
        </w:tc>
        <w:tc>
          <w:tcPr>
            <w:tcW w:w="1185" w:type="dxa"/>
            <w:tcBorders>
              <w:top w:val="nil"/>
              <w:left w:val="nil"/>
              <w:bottom w:val="single" w:sz="4" w:space="0" w:color="auto"/>
              <w:right w:val="single" w:sz="4" w:space="0" w:color="auto"/>
            </w:tcBorders>
            <w:shd w:val="clear" w:color="000000" w:fill="D9D9D9"/>
            <w:noWrap/>
            <w:vAlign w:val="center"/>
          </w:tcPr>
          <w:p w14:paraId="5A99A978" w14:textId="77777777" w:rsidR="005A6DBB" w:rsidRDefault="00F93099">
            <w:pPr>
              <w:spacing w:line="240" w:lineRule="auto"/>
              <w:jc w:val="center"/>
              <w:rPr>
                <w:rFonts w:cs="Calibri"/>
                <w:b/>
                <w:bCs/>
                <w:sz w:val="16"/>
                <w:szCs w:val="16"/>
              </w:rPr>
            </w:pPr>
            <w:r>
              <w:rPr>
                <w:rFonts w:cs="Calibri"/>
                <w:b/>
                <w:bCs/>
                <w:sz w:val="16"/>
                <w:szCs w:val="16"/>
              </w:rPr>
              <w:t>2024</w:t>
            </w:r>
          </w:p>
        </w:tc>
        <w:tc>
          <w:tcPr>
            <w:tcW w:w="1212" w:type="dxa"/>
            <w:tcBorders>
              <w:top w:val="nil"/>
              <w:left w:val="nil"/>
              <w:bottom w:val="single" w:sz="4" w:space="0" w:color="auto"/>
              <w:right w:val="single" w:sz="4" w:space="0" w:color="auto"/>
            </w:tcBorders>
            <w:shd w:val="clear" w:color="000000" w:fill="D9D9D9"/>
            <w:noWrap/>
            <w:vAlign w:val="center"/>
          </w:tcPr>
          <w:p w14:paraId="54074C1D" w14:textId="77777777" w:rsidR="005A6DBB" w:rsidRDefault="00F93099">
            <w:pPr>
              <w:spacing w:line="240" w:lineRule="auto"/>
              <w:jc w:val="center"/>
              <w:rPr>
                <w:rFonts w:cs="Calibri"/>
                <w:b/>
                <w:bCs/>
                <w:sz w:val="16"/>
                <w:szCs w:val="16"/>
              </w:rPr>
            </w:pPr>
            <w:r>
              <w:rPr>
                <w:rFonts w:cs="Calibri"/>
                <w:b/>
                <w:bCs/>
                <w:sz w:val="16"/>
                <w:szCs w:val="16"/>
              </w:rPr>
              <w:t>2025</w:t>
            </w:r>
          </w:p>
        </w:tc>
      </w:tr>
      <w:tr w:rsidR="005A6DBB" w14:paraId="5E4FACD0" w14:textId="77777777">
        <w:trPr>
          <w:trHeight w:val="312"/>
        </w:trPr>
        <w:tc>
          <w:tcPr>
            <w:tcW w:w="5733" w:type="dxa"/>
            <w:gridSpan w:val="2"/>
            <w:tcBorders>
              <w:top w:val="single" w:sz="4" w:space="0" w:color="auto"/>
              <w:left w:val="single" w:sz="4" w:space="0" w:color="auto"/>
              <w:bottom w:val="nil"/>
              <w:right w:val="nil"/>
            </w:tcBorders>
            <w:shd w:val="clear" w:color="000000" w:fill="BFBFBF"/>
            <w:noWrap/>
            <w:vAlign w:val="center"/>
          </w:tcPr>
          <w:p w14:paraId="125FFF3A" w14:textId="77777777" w:rsidR="005A6DBB" w:rsidRDefault="00F93099">
            <w:pPr>
              <w:spacing w:line="240" w:lineRule="auto"/>
              <w:jc w:val="left"/>
              <w:rPr>
                <w:rFonts w:cs="Calibri"/>
                <w:b/>
                <w:bCs/>
                <w:color w:val="000000"/>
                <w:sz w:val="16"/>
                <w:szCs w:val="16"/>
              </w:rPr>
            </w:pPr>
            <w:r>
              <w:rPr>
                <w:rFonts w:cs="Calibri"/>
                <w:b/>
                <w:bCs/>
                <w:color w:val="000000"/>
                <w:sz w:val="16"/>
                <w:szCs w:val="16"/>
              </w:rPr>
              <w:t>FINANCIAL POSITION</w:t>
            </w:r>
          </w:p>
        </w:tc>
        <w:tc>
          <w:tcPr>
            <w:tcW w:w="836" w:type="dxa"/>
            <w:tcBorders>
              <w:top w:val="single" w:sz="4" w:space="0" w:color="auto"/>
              <w:left w:val="nil"/>
              <w:bottom w:val="nil"/>
              <w:right w:val="nil"/>
            </w:tcBorders>
            <w:shd w:val="clear" w:color="000000" w:fill="BFBFBF"/>
            <w:noWrap/>
            <w:vAlign w:val="center"/>
          </w:tcPr>
          <w:p w14:paraId="07CF07A0"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244" w:type="dxa"/>
            <w:tcBorders>
              <w:top w:val="single" w:sz="4" w:space="0" w:color="auto"/>
              <w:left w:val="nil"/>
              <w:bottom w:val="nil"/>
              <w:right w:val="nil"/>
            </w:tcBorders>
            <w:shd w:val="clear" w:color="000000" w:fill="BFBFBF"/>
            <w:noWrap/>
            <w:vAlign w:val="center"/>
          </w:tcPr>
          <w:p w14:paraId="2C643767"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244" w:type="dxa"/>
            <w:tcBorders>
              <w:top w:val="single" w:sz="4" w:space="0" w:color="auto"/>
              <w:left w:val="nil"/>
              <w:bottom w:val="nil"/>
              <w:right w:val="nil"/>
            </w:tcBorders>
            <w:shd w:val="clear" w:color="000000" w:fill="BFBFBF"/>
            <w:noWrap/>
            <w:vAlign w:val="center"/>
          </w:tcPr>
          <w:p w14:paraId="1BAE3FB0"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248" w:type="dxa"/>
            <w:tcBorders>
              <w:top w:val="single" w:sz="4" w:space="0" w:color="auto"/>
              <w:left w:val="nil"/>
              <w:bottom w:val="nil"/>
              <w:right w:val="nil"/>
            </w:tcBorders>
            <w:shd w:val="clear" w:color="000000" w:fill="BFBFBF"/>
            <w:noWrap/>
            <w:vAlign w:val="center"/>
          </w:tcPr>
          <w:p w14:paraId="06CE118B"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185" w:type="dxa"/>
            <w:tcBorders>
              <w:top w:val="single" w:sz="4" w:space="0" w:color="auto"/>
              <w:left w:val="nil"/>
              <w:bottom w:val="nil"/>
              <w:right w:val="nil"/>
            </w:tcBorders>
            <w:shd w:val="clear" w:color="000000" w:fill="BFBFBF"/>
            <w:noWrap/>
            <w:vAlign w:val="center"/>
          </w:tcPr>
          <w:p w14:paraId="2A83A35E"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185" w:type="dxa"/>
            <w:tcBorders>
              <w:top w:val="single" w:sz="4" w:space="0" w:color="auto"/>
              <w:left w:val="nil"/>
              <w:bottom w:val="nil"/>
              <w:right w:val="nil"/>
            </w:tcBorders>
            <w:shd w:val="clear" w:color="000000" w:fill="BFBFBF"/>
            <w:noWrap/>
            <w:vAlign w:val="center"/>
          </w:tcPr>
          <w:p w14:paraId="171F0486"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1212" w:type="dxa"/>
            <w:tcBorders>
              <w:top w:val="single" w:sz="4" w:space="0" w:color="auto"/>
              <w:left w:val="nil"/>
              <w:bottom w:val="nil"/>
              <w:right w:val="single" w:sz="4" w:space="0" w:color="auto"/>
            </w:tcBorders>
            <w:shd w:val="clear" w:color="000000" w:fill="BFBFBF"/>
            <w:noWrap/>
            <w:vAlign w:val="center"/>
          </w:tcPr>
          <w:p w14:paraId="1BFD4513"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r>
      <w:tr w:rsidR="005A6DBB" w14:paraId="368FF083"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31A58945" w14:textId="77777777" w:rsidR="005A6DBB" w:rsidRDefault="00F93099">
            <w:pPr>
              <w:spacing w:line="240" w:lineRule="auto"/>
              <w:jc w:val="left"/>
              <w:rPr>
                <w:rFonts w:cs="Calibri"/>
                <w:b/>
                <w:bCs/>
                <w:color w:val="000000"/>
                <w:sz w:val="16"/>
                <w:szCs w:val="16"/>
              </w:rPr>
            </w:pPr>
            <w:r>
              <w:rPr>
                <w:rFonts w:cs="Calibri"/>
                <w:b/>
                <w:bCs/>
                <w:color w:val="000000"/>
                <w:sz w:val="16"/>
                <w:szCs w:val="16"/>
              </w:rPr>
              <w:t>Asset Management/ Utilisation</w:t>
            </w:r>
          </w:p>
        </w:tc>
      </w:tr>
      <w:tr w:rsidR="005A6DBB" w14:paraId="6E160358"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B0AA044"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71B31FE6" w14:textId="77777777" w:rsidR="005A6DBB" w:rsidRDefault="00F93099">
            <w:pPr>
              <w:spacing w:line="240" w:lineRule="auto"/>
              <w:jc w:val="left"/>
              <w:rPr>
                <w:rFonts w:cs="Calibri"/>
                <w:color w:val="000000"/>
                <w:sz w:val="16"/>
                <w:szCs w:val="16"/>
              </w:rPr>
            </w:pPr>
            <w:r>
              <w:rPr>
                <w:rFonts w:cs="Calibri"/>
                <w:color w:val="000000"/>
                <w:sz w:val="16"/>
                <w:szCs w:val="16"/>
              </w:rPr>
              <w:t>Capital Expenditure to Total Expenditure</w:t>
            </w:r>
          </w:p>
        </w:tc>
        <w:tc>
          <w:tcPr>
            <w:tcW w:w="836" w:type="dxa"/>
            <w:tcBorders>
              <w:top w:val="nil"/>
              <w:left w:val="nil"/>
              <w:bottom w:val="single" w:sz="4" w:space="0" w:color="auto"/>
              <w:right w:val="single" w:sz="4" w:space="0" w:color="auto"/>
            </w:tcBorders>
            <w:shd w:val="clear" w:color="000000" w:fill="FFFFFF"/>
            <w:noWrap/>
            <w:vAlign w:val="center"/>
          </w:tcPr>
          <w:p w14:paraId="7FDBBA87" w14:textId="77777777" w:rsidR="005A6DBB" w:rsidRDefault="00F93099">
            <w:pPr>
              <w:spacing w:line="240" w:lineRule="auto"/>
              <w:jc w:val="center"/>
              <w:rPr>
                <w:rFonts w:cs="Calibri"/>
                <w:color w:val="000000"/>
                <w:sz w:val="16"/>
                <w:szCs w:val="16"/>
              </w:rPr>
            </w:pPr>
            <w:r>
              <w:rPr>
                <w:rFonts w:cs="Calibri"/>
                <w:color w:val="000000"/>
                <w:sz w:val="16"/>
                <w:szCs w:val="16"/>
              </w:rPr>
              <w:t>10% - 20%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2B8FD68A" w14:textId="77777777" w:rsidR="005A6DBB" w:rsidRDefault="00F93099">
            <w:pPr>
              <w:spacing w:line="240" w:lineRule="auto"/>
              <w:jc w:val="center"/>
              <w:rPr>
                <w:rFonts w:cs="Calibri"/>
                <w:color w:val="FFFFFF"/>
                <w:sz w:val="16"/>
                <w:szCs w:val="16"/>
              </w:rPr>
            </w:pPr>
            <w:r>
              <w:rPr>
                <w:rFonts w:cs="Calibri"/>
                <w:color w:val="FFFFFF"/>
                <w:sz w:val="16"/>
                <w:szCs w:val="16"/>
              </w:rPr>
              <w:t>5.38%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48262B99" w14:textId="77777777" w:rsidR="005A6DBB" w:rsidRDefault="00F93099">
            <w:pPr>
              <w:spacing w:line="240" w:lineRule="auto"/>
              <w:jc w:val="center"/>
              <w:rPr>
                <w:rFonts w:cs="Calibri"/>
                <w:color w:val="FFFFFF"/>
                <w:sz w:val="16"/>
                <w:szCs w:val="16"/>
              </w:rPr>
            </w:pPr>
            <w:r>
              <w:rPr>
                <w:rFonts w:cs="Calibri"/>
                <w:color w:val="FFFFFF"/>
                <w:sz w:val="16"/>
                <w:szCs w:val="16"/>
              </w:rPr>
              <w:t>7.95%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7B6360A6" w14:textId="77777777" w:rsidR="005A6DBB" w:rsidRDefault="00F93099">
            <w:pPr>
              <w:spacing w:line="240" w:lineRule="auto"/>
              <w:jc w:val="center"/>
              <w:rPr>
                <w:rFonts w:cs="Calibri"/>
                <w:color w:val="FFFFFF"/>
                <w:sz w:val="16"/>
                <w:szCs w:val="16"/>
              </w:rPr>
            </w:pPr>
            <w:r>
              <w:rPr>
                <w:rFonts w:cs="Calibri"/>
                <w:color w:val="FFFFFF"/>
                <w:sz w:val="16"/>
                <w:szCs w:val="16"/>
              </w:rPr>
              <w:t>7.76%</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2E7FB8DE" w14:textId="77777777" w:rsidR="005A6DBB" w:rsidRDefault="00F93099">
            <w:pPr>
              <w:spacing w:line="240" w:lineRule="auto"/>
              <w:jc w:val="center"/>
              <w:rPr>
                <w:rFonts w:cs="Calibri"/>
                <w:color w:val="FFFFFF"/>
                <w:sz w:val="16"/>
                <w:szCs w:val="16"/>
              </w:rPr>
            </w:pPr>
            <w:r>
              <w:rPr>
                <w:rFonts w:cs="Calibri"/>
                <w:color w:val="FFFFFF"/>
                <w:sz w:val="16"/>
                <w:szCs w:val="16"/>
              </w:rPr>
              <w:t>13.06%</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74E3DA29" w14:textId="77777777" w:rsidR="005A6DBB" w:rsidRDefault="00F93099">
            <w:pPr>
              <w:spacing w:line="240" w:lineRule="auto"/>
              <w:jc w:val="center"/>
              <w:rPr>
                <w:rFonts w:cs="Calibri"/>
                <w:color w:val="FFFFFF"/>
                <w:sz w:val="16"/>
                <w:szCs w:val="16"/>
              </w:rPr>
            </w:pPr>
            <w:r>
              <w:rPr>
                <w:rFonts w:cs="Calibri"/>
                <w:color w:val="FFFFFF"/>
                <w:sz w:val="16"/>
                <w:szCs w:val="16"/>
              </w:rPr>
              <w:t>12.79%</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64355BF7" w14:textId="77777777" w:rsidR="005A6DBB" w:rsidRDefault="00F93099">
            <w:pPr>
              <w:spacing w:line="240" w:lineRule="auto"/>
              <w:jc w:val="center"/>
              <w:rPr>
                <w:rFonts w:cs="Calibri"/>
                <w:color w:val="FFFFFF"/>
                <w:sz w:val="16"/>
                <w:szCs w:val="16"/>
              </w:rPr>
            </w:pPr>
            <w:r>
              <w:rPr>
                <w:rFonts w:cs="Calibri"/>
                <w:color w:val="FFFFFF"/>
                <w:sz w:val="16"/>
                <w:szCs w:val="16"/>
              </w:rPr>
              <w:t>12.92%</w:t>
            </w:r>
          </w:p>
        </w:tc>
      </w:tr>
      <w:tr w:rsidR="005A6DBB" w14:paraId="6593662E"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5D8B4765"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433ED46B" w14:textId="77777777" w:rsidR="005A6DBB" w:rsidRDefault="00F93099">
            <w:pPr>
              <w:spacing w:line="240" w:lineRule="auto"/>
              <w:jc w:val="left"/>
              <w:rPr>
                <w:rFonts w:cs="Calibri"/>
                <w:color w:val="000000"/>
                <w:sz w:val="16"/>
                <w:szCs w:val="16"/>
              </w:rPr>
            </w:pPr>
            <w:r>
              <w:rPr>
                <w:rFonts w:cs="Calibri"/>
                <w:color w:val="000000"/>
                <w:sz w:val="16"/>
                <w:szCs w:val="16"/>
              </w:rPr>
              <w:t>Impairment of Property, Plant and Equipment, Investment Property, and Intangible assets (Carrying Value)</w:t>
            </w:r>
          </w:p>
        </w:tc>
        <w:tc>
          <w:tcPr>
            <w:tcW w:w="836" w:type="dxa"/>
            <w:tcBorders>
              <w:top w:val="nil"/>
              <w:left w:val="nil"/>
              <w:bottom w:val="single" w:sz="4" w:space="0" w:color="auto"/>
              <w:right w:val="single" w:sz="4" w:space="0" w:color="auto"/>
            </w:tcBorders>
            <w:shd w:val="clear" w:color="000000" w:fill="FFFFFF"/>
            <w:noWrap/>
            <w:vAlign w:val="center"/>
          </w:tcPr>
          <w:p w14:paraId="5C67E7D5" w14:textId="77777777" w:rsidR="005A6DBB" w:rsidRDefault="00F93099">
            <w:pPr>
              <w:spacing w:line="240" w:lineRule="auto"/>
              <w:jc w:val="center"/>
              <w:rPr>
                <w:rFonts w:cs="Calibri"/>
                <w:color w:val="000000"/>
                <w:sz w:val="16"/>
                <w:szCs w:val="16"/>
              </w:rPr>
            </w:pPr>
            <w:r>
              <w:rPr>
                <w:rFonts w:cs="Calibri"/>
                <w:color w:val="000000"/>
                <w:sz w:val="16"/>
                <w:szCs w:val="16"/>
              </w:rPr>
              <w:t>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1935C3DA" w14:textId="77777777" w:rsidR="005A6DBB" w:rsidRDefault="00F93099">
            <w:pPr>
              <w:spacing w:line="240" w:lineRule="auto"/>
              <w:jc w:val="center"/>
              <w:rPr>
                <w:rFonts w:cs="Calibri"/>
                <w:color w:val="FFFFFF"/>
                <w:sz w:val="16"/>
                <w:szCs w:val="16"/>
              </w:rPr>
            </w:pPr>
            <w:r>
              <w:rPr>
                <w:rFonts w:cs="Calibri"/>
                <w:color w:val="FFFFFF"/>
                <w:sz w:val="16"/>
                <w:szCs w:val="16"/>
              </w:rPr>
              <w:t>0.13%</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3EA74422" w14:textId="77777777" w:rsidR="005A6DBB" w:rsidRDefault="00F93099">
            <w:pPr>
              <w:spacing w:line="240" w:lineRule="auto"/>
              <w:jc w:val="center"/>
              <w:rPr>
                <w:rFonts w:cs="Calibri"/>
                <w:color w:val="FFFFFF"/>
                <w:sz w:val="16"/>
                <w:szCs w:val="16"/>
              </w:rPr>
            </w:pPr>
            <w:r>
              <w:rPr>
                <w:rFonts w:cs="Calibri"/>
                <w:color w:val="FFFFFF"/>
                <w:sz w:val="16"/>
                <w:szCs w:val="16"/>
              </w:rPr>
              <w:t>0.14%</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31EDA033" w14:textId="77777777" w:rsidR="005A6DBB" w:rsidRDefault="00F93099">
            <w:pPr>
              <w:spacing w:line="240" w:lineRule="auto"/>
              <w:jc w:val="center"/>
              <w:rPr>
                <w:rFonts w:cs="Calibri"/>
                <w:color w:val="FFFFFF"/>
                <w:sz w:val="16"/>
                <w:szCs w:val="16"/>
              </w:rPr>
            </w:pPr>
            <w:r>
              <w:rPr>
                <w:rFonts w:cs="Calibri"/>
                <w:color w:val="FFFFFF"/>
                <w:sz w:val="16"/>
                <w:szCs w:val="16"/>
              </w:rPr>
              <w:t>0.04%</w:t>
            </w:r>
          </w:p>
        </w:tc>
        <w:tc>
          <w:tcPr>
            <w:tcW w:w="1185" w:type="dxa"/>
            <w:tcBorders>
              <w:top w:val="nil"/>
              <w:left w:val="nil"/>
              <w:bottom w:val="single" w:sz="4" w:space="0" w:color="auto"/>
              <w:right w:val="nil"/>
            </w:tcBorders>
            <w:shd w:val="clear" w:color="000000" w:fill="D9D9D9"/>
            <w:noWrap/>
            <w:vAlign w:val="bottom"/>
          </w:tcPr>
          <w:p w14:paraId="042781D3" w14:textId="77777777" w:rsidR="005A6DBB" w:rsidRDefault="005A6DBB">
            <w:pPr>
              <w:spacing w:line="240" w:lineRule="auto"/>
              <w:jc w:val="left"/>
              <w:rPr>
                <w:rFonts w:ascii="Bookman Old Style" w:hAnsi="Bookman Old Style"/>
                <w:color w:val="FFFFFF"/>
                <w:sz w:val="24"/>
              </w:rPr>
            </w:pPr>
          </w:p>
        </w:tc>
        <w:tc>
          <w:tcPr>
            <w:tcW w:w="1185" w:type="dxa"/>
            <w:tcBorders>
              <w:top w:val="nil"/>
              <w:left w:val="nil"/>
              <w:bottom w:val="single" w:sz="4" w:space="0" w:color="auto"/>
              <w:right w:val="nil"/>
            </w:tcBorders>
            <w:shd w:val="clear" w:color="000000" w:fill="D9D9D9"/>
            <w:noWrap/>
            <w:vAlign w:val="bottom"/>
          </w:tcPr>
          <w:p w14:paraId="7AAC1F17" w14:textId="77777777" w:rsidR="005A6DBB" w:rsidRDefault="005A6DBB">
            <w:pPr>
              <w:spacing w:line="240" w:lineRule="auto"/>
              <w:jc w:val="left"/>
              <w:rPr>
                <w:rFonts w:ascii="Bookman Old Style" w:hAnsi="Bookman Old Style"/>
                <w:color w:val="FFFFFF"/>
                <w:sz w:val="24"/>
              </w:rPr>
            </w:pPr>
          </w:p>
        </w:tc>
        <w:tc>
          <w:tcPr>
            <w:tcW w:w="1212" w:type="dxa"/>
            <w:tcBorders>
              <w:top w:val="nil"/>
              <w:left w:val="nil"/>
              <w:bottom w:val="single" w:sz="4" w:space="0" w:color="auto"/>
              <w:right w:val="single" w:sz="4" w:space="0" w:color="auto"/>
            </w:tcBorders>
            <w:shd w:val="clear" w:color="000000" w:fill="D9D9D9"/>
            <w:noWrap/>
            <w:vAlign w:val="bottom"/>
          </w:tcPr>
          <w:p w14:paraId="3831B256" w14:textId="77777777" w:rsidR="005A6DBB" w:rsidRDefault="005A6DBB">
            <w:pPr>
              <w:spacing w:line="240" w:lineRule="auto"/>
              <w:jc w:val="left"/>
              <w:rPr>
                <w:rFonts w:ascii="Bookman Old Style" w:hAnsi="Bookman Old Style"/>
                <w:color w:val="FFFFFF"/>
                <w:sz w:val="24"/>
              </w:rPr>
            </w:pPr>
          </w:p>
        </w:tc>
      </w:tr>
      <w:tr w:rsidR="005A6DBB" w14:paraId="5F43041D"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2C3E3DA"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100906AD" w14:textId="77777777" w:rsidR="005A6DBB" w:rsidRDefault="00F93099">
            <w:pPr>
              <w:spacing w:line="240" w:lineRule="auto"/>
              <w:jc w:val="left"/>
              <w:rPr>
                <w:rFonts w:cs="Calibri"/>
                <w:color w:val="000000"/>
                <w:sz w:val="16"/>
                <w:szCs w:val="16"/>
              </w:rPr>
            </w:pPr>
            <w:r>
              <w:rPr>
                <w:rFonts w:cs="Calibri"/>
                <w:color w:val="000000"/>
                <w:sz w:val="16"/>
                <w:szCs w:val="16"/>
              </w:rPr>
              <w:t>Repairs and Maintenance as a % of Property, Plant and Equipment and Investment Property (Carrying Value)</w:t>
            </w:r>
          </w:p>
        </w:tc>
        <w:tc>
          <w:tcPr>
            <w:tcW w:w="836" w:type="dxa"/>
            <w:tcBorders>
              <w:top w:val="nil"/>
              <w:left w:val="nil"/>
              <w:bottom w:val="single" w:sz="4" w:space="0" w:color="auto"/>
              <w:right w:val="single" w:sz="4" w:space="0" w:color="auto"/>
            </w:tcBorders>
            <w:shd w:val="clear" w:color="000000" w:fill="FFFFFF"/>
            <w:noWrap/>
            <w:vAlign w:val="center"/>
          </w:tcPr>
          <w:p w14:paraId="4551E494" w14:textId="77777777" w:rsidR="005A6DBB" w:rsidRDefault="00F93099">
            <w:pPr>
              <w:spacing w:line="240" w:lineRule="auto"/>
              <w:jc w:val="center"/>
              <w:rPr>
                <w:rFonts w:cs="Calibri"/>
                <w:color w:val="000000"/>
                <w:sz w:val="16"/>
                <w:szCs w:val="16"/>
              </w:rPr>
            </w:pPr>
            <w:r>
              <w:rPr>
                <w:rFonts w:cs="Calibri"/>
                <w:color w:val="000000"/>
                <w:sz w:val="16"/>
                <w:szCs w:val="16"/>
              </w:rPr>
              <w:t>8%</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1BAD169" w14:textId="77777777" w:rsidR="005A6DBB" w:rsidRDefault="00F93099">
            <w:pPr>
              <w:spacing w:line="240" w:lineRule="auto"/>
              <w:jc w:val="center"/>
              <w:rPr>
                <w:rFonts w:cs="Calibri"/>
                <w:color w:val="FFFFFF"/>
                <w:sz w:val="16"/>
                <w:szCs w:val="16"/>
              </w:rPr>
            </w:pPr>
            <w:r>
              <w:rPr>
                <w:rFonts w:cs="Calibri"/>
                <w:color w:val="FFFFFF"/>
                <w:sz w:val="16"/>
                <w:szCs w:val="16"/>
              </w:rPr>
              <w:t>1.10%</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2700AC92" w14:textId="77777777" w:rsidR="005A6DBB" w:rsidRDefault="00F93099">
            <w:pPr>
              <w:spacing w:line="240" w:lineRule="auto"/>
              <w:jc w:val="center"/>
              <w:rPr>
                <w:rFonts w:cs="Calibri"/>
                <w:color w:val="FFFFFF"/>
                <w:sz w:val="16"/>
                <w:szCs w:val="16"/>
              </w:rPr>
            </w:pPr>
            <w:r>
              <w:rPr>
                <w:rFonts w:cs="Calibri"/>
                <w:color w:val="FFFFFF"/>
                <w:sz w:val="16"/>
                <w:szCs w:val="16"/>
              </w:rPr>
              <w:t>1.24%</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5FE92797" w14:textId="77777777" w:rsidR="005A6DBB" w:rsidRDefault="00F93099">
            <w:pPr>
              <w:spacing w:line="240" w:lineRule="auto"/>
              <w:jc w:val="center"/>
              <w:rPr>
                <w:rFonts w:cs="Calibri"/>
                <w:color w:val="FFFFFF"/>
                <w:sz w:val="16"/>
                <w:szCs w:val="16"/>
              </w:rPr>
            </w:pPr>
            <w:r>
              <w:rPr>
                <w:rFonts w:cs="Calibri"/>
                <w:color w:val="FFFFFF"/>
                <w:sz w:val="16"/>
                <w:szCs w:val="16"/>
              </w:rPr>
              <w:t>1.60%</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0EA0C1CC" w14:textId="77777777" w:rsidR="005A6DBB" w:rsidRDefault="00F93099">
            <w:pPr>
              <w:spacing w:line="240" w:lineRule="auto"/>
              <w:jc w:val="center"/>
              <w:rPr>
                <w:rFonts w:cs="Calibri"/>
                <w:color w:val="FFFFFF"/>
                <w:sz w:val="16"/>
                <w:szCs w:val="16"/>
              </w:rPr>
            </w:pPr>
            <w:r>
              <w:rPr>
                <w:rFonts w:cs="Calibri"/>
                <w:color w:val="FFFFFF"/>
                <w:sz w:val="16"/>
                <w:szCs w:val="16"/>
              </w:rPr>
              <w:t>2.63%</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48375ED7" w14:textId="77777777" w:rsidR="005A6DBB" w:rsidRDefault="00F93099">
            <w:pPr>
              <w:spacing w:line="240" w:lineRule="auto"/>
              <w:jc w:val="center"/>
              <w:rPr>
                <w:rFonts w:cs="Calibri"/>
                <w:color w:val="FFFFFF"/>
                <w:sz w:val="16"/>
                <w:szCs w:val="16"/>
              </w:rPr>
            </w:pPr>
            <w:r>
              <w:rPr>
                <w:rFonts w:cs="Calibri"/>
                <w:color w:val="FFFFFF"/>
                <w:sz w:val="16"/>
                <w:szCs w:val="16"/>
              </w:rPr>
              <w:t>2.77%</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0F3E2CA2" w14:textId="77777777" w:rsidR="005A6DBB" w:rsidRDefault="00F93099">
            <w:pPr>
              <w:spacing w:line="240" w:lineRule="auto"/>
              <w:jc w:val="center"/>
              <w:rPr>
                <w:rFonts w:cs="Calibri"/>
                <w:color w:val="FFFFFF"/>
                <w:sz w:val="16"/>
                <w:szCs w:val="16"/>
              </w:rPr>
            </w:pPr>
            <w:r>
              <w:rPr>
                <w:rFonts w:cs="Calibri"/>
                <w:color w:val="FFFFFF"/>
                <w:sz w:val="16"/>
                <w:szCs w:val="16"/>
              </w:rPr>
              <w:t>2.75%</w:t>
            </w:r>
          </w:p>
        </w:tc>
      </w:tr>
      <w:tr w:rsidR="005A6DBB" w14:paraId="408C14B6"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2901AE65" w14:textId="77777777" w:rsidR="005A6DBB" w:rsidRDefault="00F93099">
            <w:pPr>
              <w:spacing w:line="240" w:lineRule="auto"/>
              <w:jc w:val="left"/>
              <w:rPr>
                <w:rFonts w:cs="Calibri"/>
                <w:b/>
                <w:bCs/>
                <w:color w:val="000000"/>
                <w:sz w:val="16"/>
                <w:szCs w:val="16"/>
              </w:rPr>
            </w:pPr>
            <w:r>
              <w:rPr>
                <w:rFonts w:cs="Calibri"/>
                <w:b/>
                <w:bCs/>
                <w:color w:val="000000"/>
                <w:sz w:val="16"/>
                <w:szCs w:val="16"/>
              </w:rPr>
              <w:t xml:space="preserve">Debtors Management </w:t>
            </w:r>
          </w:p>
        </w:tc>
      </w:tr>
      <w:tr w:rsidR="005A6DBB" w14:paraId="27303C7C"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5903508C"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6F36012B" w14:textId="77777777" w:rsidR="005A6DBB" w:rsidRDefault="00F93099">
            <w:pPr>
              <w:spacing w:line="240" w:lineRule="auto"/>
              <w:jc w:val="left"/>
              <w:rPr>
                <w:rFonts w:cs="Calibri"/>
                <w:color w:val="000000"/>
                <w:sz w:val="16"/>
                <w:szCs w:val="16"/>
              </w:rPr>
            </w:pPr>
            <w:r>
              <w:rPr>
                <w:rFonts w:cs="Calibri"/>
                <w:color w:val="000000"/>
                <w:sz w:val="16"/>
                <w:szCs w:val="16"/>
              </w:rPr>
              <w:t xml:space="preserve">Collection Rate </w:t>
            </w:r>
          </w:p>
        </w:tc>
        <w:tc>
          <w:tcPr>
            <w:tcW w:w="836" w:type="dxa"/>
            <w:tcBorders>
              <w:top w:val="nil"/>
              <w:left w:val="nil"/>
              <w:bottom w:val="single" w:sz="4" w:space="0" w:color="auto"/>
              <w:right w:val="single" w:sz="4" w:space="0" w:color="auto"/>
            </w:tcBorders>
            <w:shd w:val="clear" w:color="000000" w:fill="FFFFFF"/>
            <w:noWrap/>
            <w:vAlign w:val="center"/>
          </w:tcPr>
          <w:p w14:paraId="05D7C78F" w14:textId="77777777" w:rsidR="005A6DBB" w:rsidRDefault="00F93099">
            <w:pPr>
              <w:spacing w:line="240" w:lineRule="auto"/>
              <w:jc w:val="center"/>
              <w:rPr>
                <w:rFonts w:cs="Calibri"/>
                <w:color w:val="000000"/>
                <w:sz w:val="16"/>
                <w:szCs w:val="16"/>
              </w:rPr>
            </w:pPr>
            <w:r>
              <w:rPr>
                <w:rFonts w:cs="Calibri"/>
                <w:color w:val="000000"/>
                <w:sz w:val="16"/>
                <w:szCs w:val="16"/>
              </w:rPr>
              <w:t>95%</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420F7305" w14:textId="77777777" w:rsidR="005A6DBB" w:rsidRDefault="00F93099">
            <w:pPr>
              <w:spacing w:line="240" w:lineRule="auto"/>
              <w:jc w:val="center"/>
              <w:rPr>
                <w:rFonts w:cs="Calibri"/>
                <w:color w:val="FFFFFF"/>
                <w:sz w:val="16"/>
                <w:szCs w:val="16"/>
              </w:rPr>
            </w:pPr>
            <w:r>
              <w:rPr>
                <w:rFonts w:cs="Calibri"/>
                <w:color w:val="FFFFFF"/>
                <w:sz w:val="16"/>
                <w:szCs w:val="16"/>
              </w:rPr>
              <w:t>83.12%</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65BC57E3" w14:textId="77777777" w:rsidR="005A6DBB" w:rsidRDefault="00F93099">
            <w:pPr>
              <w:spacing w:line="240" w:lineRule="auto"/>
              <w:jc w:val="center"/>
              <w:rPr>
                <w:rFonts w:cs="Calibri"/>
                <w:color w:val="FFFFFF"/>
                <w:sz w:val="16"/>
                <w:szCs w:val="16"/>
              </w:rPr>
            </w:pPr>
            <w:r>
              <w:rPr>
                <w:rFonts w:cs="Calibri"/>
                <w:color w:val="FFFFFF"/>
                <w:sz w:val="16"/>
                <w:szCs w:val="16"/>
              </w:rPr>
              <w:t>81.16%</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05848DD7" w14:textId="77777777" w:rsidR="005A6DBB" w:rsidRDefault="00F93099">
            <w:pPr>
              <w:spacing w:line="240" w:lineRule="auto"/>
              <w:jc w:val="center"/>
              <w:rPr>
                <w:rFonts w:cs="Calibri"/>
                <w:color w:val="FFFFFF"/>
                <w:sz w:val="16"/>
                <w:szCs w:val="16"/>
              </w:rPr>
            </w:pPr>
            <w:r>
              <w:rPr>
                <w:rFonts w:cs="Calibri"/>
                <w:color w:val="FFFFFF"/>
                <w:sz w:val="16"/>
                <w:szCs w:val="16"/>
              </w:rPr>
              <w:t>79.44%</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49421392" w14:textId="77777777" w:rsidR="005A6DBB" w:rsidRDefault="00F93099">
            <w:pPr>
              <w:spacing w:line="240" w:lineRule="auto"/>
              <w:jc w:val="center"/>
              <w:rPr>
                <w:rFonts w:cs="Calibri"/>
                <w:color w:val="FFFFFF"/>
                <w:sz w:val="16"/>
                <w:szCs w:val="16"/>
              </w:rPr>
            </w:pPr>
            <w:r>
              <w:rPr>
                <w:rFonts w:cs="Calibri"/>
                <w:color w:val="FFFFFF"/>
                <w:sz w:val="16"/>
                <w:szCs w:val="16"/>
              </w:rPr>
              <w:t>82.07%</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06F5B729" w14:textId="77777777" w:rsidR="005A6DBB" w:rsidRDefault="00F93099">
            <w:pPr>
              <w:spacing w:line="240" w:lineRule="auto"/>
              <w:jc w:val="center"/>
              <w:rPr>
                <w:rFonts w:cs="Calibri"/>
                <w:color w:val="FFFFFF"/>
                <w:sz w:val="16"/>
                <w:szCs w:val="16"/>
              </w:rPr>
            </w:pPr>
            <w:r>
              <w:rPr>
                <w:rFonts w:cs="Calibri"/>
                <w:color w:val="FFFFFF"/>
                <w:sz w:val="16"/>
                <w:szCs w:val="16"/>
              </w:rPr>
              <w:t>82.02%</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1B8061AF" w14:textId="77777777" w:rsidR="005A6DBB" w:rsidRDefault="00F93099">
            <w:pPr>
              <w:spacing w:line="240" w:lineRule="auto"/>
              <w:jc w:val="center"/>
              <w:rPr>
                <w:rFonts w:cs="Calibri"/>
                <w:color w:val="FFFFFF"/>
                <w:sz w:val="16"/>
                <w:szCs w:val="16"/>
              </w:rPr>
            </w:pPr>
            <w:r>
              <w:rPr>
                <w:rFonts w:cs="Calibri"/>
                <w:color w:val="FFFFFF"/>
                <w:sz w:val="16"/>
                <w:szCs w:val="16"/>
              </w:rPr>
              <w:t>82.02%</w:t>
            </w:r>
          </w:p>
        </w:tc>
      </w:tr>
      <w:tr w:rsidR="005A6DBB" w14:paraId="24C54050"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008D2696"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420DEB2F" w14:textId="77777777" w:rsidR="005A6DBB" w:rsidRDefault="00F93099">
            <w:pPr>
              <w:spacing w:line="240" w:lineRule="auto"/>
              <w:jc w:val="left"/>
              <w:rPr>
                <w:rFonts w:cs="Calibri"/>
                <w:color w:val="000000"/>
                <w:sz w:val="16"/>
                <w:szCs w:val="16"/>
              </w:rPr>
            </w:pPr>
            <w:r>
              <w:rPr>
                <w:rFonts w:cs="Calibri"/>
                <w:color w:val="000000"/>
                <w:sz w:val="16"/>
                <w:szCs w:val="16"/>
              </w:rPr>
              <w:t xml:space="preserve">Bad Debts Written-off as % of Provision for Bad Debt </w:t>
            </w:r>
          </w:p>
        </w:tc>
        <w:tc>
          <w:tcPr>
            <w:tcW w:w="836" w:type="dxa"/>
            <w:tcBorders>
              <w:top w:val="nil"/>
              <w:left w:val="nil"/>
              <w:bottom w:val="single" w:sz="4" w:space="0" w:color="auto"/>
              <w:right w:val="single" w:sz="4" w:space="0" w:color="auto"/>
            </w:tcBorders>
            <w:shd w:val="clear" w:color="000000" w:fill="FFFFFF"/>
            <w:noWrap/>
            <w:vAlign w:val="center"/>
          </w:tcPr>
          <w:p w14:paraId="2B0447BD" w14:textId="77777777" w:rsidR="005A6DBB" w:rsidRDefault="00F93099">
            <w:pPr>
              <w:spacing w:line="240" w:lineRule="auto"/>
              <w:jc w:val="center"/>
              <w:rPr>
                <w:rFonts w:cs="Calibri"/>
                <w:color w:val="000000"/>
                <w:sz w:val="16"/>
                <w:szCs w:val="16"/>
              </w:rPr>
            </w:pPr>
            <w:r>
              <w:rPr>
                <w:rFonts w:cs="Calibri"/>
                <w:color w:val="000000"/>
                <w:sz w:val="16"/>
                <w:szCs w:val="16"/>
              </w:rPr>
              <w:t>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5E40DE8C" w14:textId="77777777" w:rsidR="005A6DBB" w:rsidRDefault="00F93099">
            <w:pPr>
              <w:spacing w:line="240" w:lineRule="auto"/>
              <w:jc w:val="center"/>
              <w:rPr>
                <w:rFonts w:cs="Calibri"/>
                <w:color w:val="FFFFFF"/>
                <w:sz w:val="16"/>
                <w:szCs w:val="16"/>
              </w:rPr>
            </w:pPr>
            <w:r>
              <w:rPr>
                <w:rFonts w:cs="Calibri"/>
                <w:color w:val="FFFFFF"/>
                <w:sz w:val="16"/>
                <w:szCs w:val="16"/>
              </w:rPr>
              <w:t>6.77%</w:t>
            </w:r>
          </w:p>
        </w:tc>
        <w:tc>
          <w:tcPr>
            <w:tcW w:w="1244" w:type="dxa"/>
            <w:tcBorders>
              <w:top w:val="nil"/>
              <w:left w:val="nil"/>
              <w:bottom w:val="single" w:sz="4" w:space="0" w:color="auto"/>
              <w:right w:val="single" w:sz="4" w:space="0" w:color="auto"/>
            </w:tcBorders>
            <w:shd w:val="clear" w:color="auto" w:fill="FF0000"/>
            <w:noWrap/>
            <w:vAlign w:val="center"/>
          </w:tcPr>
          <w:p w14:paraId="79A6863C" w14:textId="77777777" w:rsidR="005A6DBB" w:rsidRDefault="00F93099">
            <w:pPr>
              <w:spacing w:line="240" w:lineRule="auto"/>
              <w:jc w:val="center"/>
              <w:rPr>
                <w:rFonts w:cs="Calibri"/>
                <w:color w:val="FFFFFF"/>
                <w:sz w:val="16"/>
                <w:szCs w:val="16"/>
              </w:rPr>
            </w:pPr>
            <w:r>
              <w:rPr>
                <w:rFonts w:cs="Calibri"/>
                <w:color w:val="FFFFFF"/>
                <w:sz w:val="16"/>
                <w:szCs w:val="16"/>
              </w:rPr>
              <w:t>0.36%</w:t>
            </w:r>
          </w:p>
        </w:tc>
        <w:tc>
          <w:tcPr>
            <w:tcW w:w="1248" w:type="dxa"/>
            <w:tcBorders>
              <w:top w:val="nil"/>
              <w:left w:val="nil"/>
              <w:bottom w:val="single" w:sz="4" w:space="0" w:color="auto"/>
              <w:right w:val="single" w:sz="4" w:space="0" w:color="auto"/>
            </w:tcBorders>
            <w:shd w:val="clear" w:color="auto" w:fill="FF0000"/>
            <w:noWrap/>
            <w:vAlign w:val="center"/>
          </w:tcPr>
          <w:p w14:paraId="0478A2C9" w14:textId="77777777" w:rsidR="005A6DBB" w:rsidRDefault="00F93099">
            <w:pPr>
              <w:spacing w:line="240" w:lineRule="auto"/>
              <w:jc w:val="center"/>
              <w:rPr>
                <w:rFonts w:cs="Calibri"/>
                <w:color w:val="FFFFFF"/>
                <w:sz w:val="16"/>
                <w:szCs w:val="16"/>
              </w:rPr>
            </w:pPr>
            <w:r>
              <w:rPr>
                <w:rFonts w:cs="Calibri"/>
                <w:color w:val="FFFFFF"/>
                <w:sz w:val="16"/>
                <w:szCs w:val="16"/>
              </w:rPr>
              <w:t>2.36%</w:t>
            </w:r>
          </w:p>
        </w:tc>
        <w:tc>
          <w:tcPr>
            <w:tcW w:w="1185" w:type="dxa"/>
            <w:tcBorders>
              <w:top w:val="nil"/>
              <w:left w:val="nil"/>
              <w:bottom w:val="single" w:sz="4" w:space="0" w:color="auto"/>
              <w:right w:val="single" w:sz="4" w:space="0" w:color="auto"/>
            </w:tcBorders>
            <w:shd w:val="clear" w:color="auto" w:fill="FF0000"/>
            <w:noWrap/>
            <w:vAlign w:val="center"/>
          </w:tcPr>
          <w:p w14:paraId="2309BD95" w14:textId="77777777" w:rsidR="005A6DBB" w:rsidRDefault="00F93099">
            <w:pPr>
              <w:spacing w:line="240" w:lineRule="auto"/>
              <w:jc w:val="center"/>
              <w:rPr>
                <w:rFonts w:cs="Calibri"/>
                <w:color w:val="FFFFFF"/>
                <w:sz w:val="16"/>
                <w:szCs w:val="16"/>
              </w:rPr>
            </w:pPr>
            <w:r>
              <w:rPr>
                <w:rFonts w:cs="Calibri"/>
                <w:color w:val="FFFFFF"/>
                <w:sz w:val="16"/>
                <w:szCs w:val="16"/>
              </w:rPr>
              <w:t>0.00%</w:t>
            </w:r>
          </w:p>
        </w:tc>
        <w:tc>
          <w:tcPr>
            <w:tcW w:w="1185" w:type="dxa"/>
            <w:tcBorders>
              <w:top w:val="nil"/>
              <w:left w:val="nil"/>
              <w:bottom w:val="single" w:sz="4" w:space="0" w:color="auto"/>
              <w:right w:val="single" w:sz="4" w:space="0" w:color="auto"/>
            </w:tcBorders>
            <w:shd w:val="clear" w:color="auto" w:fill="FF0000"/>
            <w:noWrap/>
            <w:vAlign w:val="center"/>
          </w:tcPr>
          <w:p w14:paraId="47BAB852" w14:textId="77777777" w:rsidR="005A6DBB" w:rsidRDefault="00F93099">
            <w:pPr>
              <w:spacing w:line="240" w:lineRule="auto"/>
              <w:jc w:val="center"/>
              <w:rPr>
                <w:rFonts w:cs="Calibri"/>
                <w:color w:val="FFFFFF"/>
                <w:sz w:val="16"/>
                <w:szCs w:val="16"/>
              </w:rPr>
            </w:pPr>
            <w:r>
              <w:rPr>
                <w:rFonts w:cs="Calibri"/>
                <w:color w:val="FFFFFF"/>
                <w:sz w:val="16"/>
                <w:szCs w:val="16"/>
              </w:rPr>
              <w:t>0.00%</w:t>
            </w:r>
          </w:p>
        </w:tc>
        <w:tc>
          <w:tcPr>
            <w:tcW w:w="1212" w:type="dxa"/>
            <w:tcBorders>
              <w:top w:val="nil"/>
              <w:left w:val="nil"/>
              <w:bottom w:val="single" w:sz="4" w:space="0" w:color="auto"/>
              <w:right w:val="single" w:sz="4" w:space="0" w:color="auto"/>
            </w:tcBorders>
            <w:shd w:val="clear" w:color="auto" w:fill="FF0000"/>
            <w:noWrap/>
            <w:vAlign w:val="center"/>
          </w:tcPr>
          <w:p w14:paraId="613E0EA8" w14:textId="77777777" w:rsidR="005A6DBB" w:rsidRDefault="00F93099">
            <w:pPr>
              <w:spacing w:line="240" w:lineRule="auto"/>
              <w:jc w:val="center"/>
              <w:rPr>
                <w:rFonts w:cs="Calibri"/>
                <w:color w:val="FFFFFF"/>
                <w:sz w:val="16"/>
                <w:szCs w:val="16"/>
              </w:rPr>
            </w:pPr>
            <w:r>
              <w:rPr>
                <w:rFonts w:cs="Calibri"/>
                <w:color w:val="FFFFFF"/>
                <w:sz w:val="16"/>
                <w:szCs w:val="16"/>
              </w:rPr>
              <w:t>0.00%</w:t>
            </w:r>
          </w:p>
        </w:tc>
      </w:tr>
      <w:tr w:rsidR="005A6DBB" w14:paraId="072B4349"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3E410B83"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6063813F" w14:textId="77777777" w:rsidR="005A6DBB" w:rsidRDefault="00F93099">
            <w:pPr>
              <w:spacing w:line="240" w:lineRule="auto"/>
              <w:rPr>
                <w:rFonts w:cs="Calibri"/>
                <w:color w:val="000000"/>
                <w:sz w:val="16"/>
                <w:szCs w:val="16"/>
              </w:rPr>
            </w:pPr>
            <w:r>
              <w:rPr>
                <w:rFonts w:cs="Calibri"/>
                <w:color w:val="000000"/>
                <w:sz w:val="16"/>
                <w:szCs w:val="16"/>
              </w:rPr>
              <w:t xml:space="preserve">Net Debtors Days </w:t>
            </w:r>
          </w:p>
        </w:tc>
        <w:tc>
          <w:tcPr>
            <w:tcW w:w="836" w:type="dxa"/>
            <w:tcBorders>
              <w:top w:val="nil"/>
              <w:left w:val="nil"/>
              <w:bottom w:val="single" w:sz="4" w:space="0" w:color="auto"/>
              <w:right w:val="single" w:sz="4" w:space="0" w:color="auto"/>
            </w:tcBorders>
            <w:shd w:val="clear" w:color="000000" w:fill="FFFFFF"/>
            <w:noWrap/>
            <w:vAlign w:val="center"/>
          </w:tcPr>
          <w:p w14:paraId="646233DD" w14:textId="77777777" w:rsidR="005A6DBB" w:rsidRDefault="00F93099">
            <w:pPr>
              <w:spacing w:line="240" w:lineRule="auto"/>
              <w:jc w:val="center"/>
              <w:rPr>
                <w:rFonts w:cs="Calibri"/>
                <w:color w:val="000000"/>
                <w:sz w:val="16"/>
                <w:szCs w:val="16"/>
              </w:rPr>
            </w:pPr>
            <w:r>
              <w:rPr>
                <w:rFonts w:cs="Calibri"/>
                <w:color w:val="000000"/>
                <w:sz w:val="16"/>
                <w:szCs w:val="16"/>
              </w:rPr>
              <w:t>30DAYS</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266C874B" w14:textId="77777777" w:rsidR="005A6DBB" w:rsidRDefault="00F93099">
            <w:pPr>
              <w:spacing w:line="240" w:lineRule="auto"/>
              <w:jc w:val="center"/>
              <w:rPr>
                <w:rFonts w:cs="Calibri"/>
                <w:color w:val="FFFFFF"/>
                <w:sz w:val="16"/>
                <w:szCs w:val="16"/>
              </w:rPr>
            </w:pPr>
            <w:r>
              <w:rPr>
                <w:rFonts w:cs="Calibri"/>
                <w:color w:val="FFFFFF"/>
                <w:sz w:val="16"/>
                <w:szCs w:val="16"/>
              </w:rPr>
              <w:t>100.51</w:t>
            </w:r>
          </w:p>
        </w:tc>
        <w:tc>
          <w:tcPr>
            <w:tcW w:w="1244" w:type="dxa"/>
            <w:tcBorders>
              <w:top w:val="nil"/>
              <w:left w:val="nil"/>
              <w:bottom w:val="single" w:sz="4" w:space="0" w:color="auto"/>
              <w:right w:val="single" w:sz="4" w:space="0" w:color="auto"/>
            </w:tcBorders>
            <w:shd w:val="clear" w:color="auto" w:fill="FF0000"/>
            <w:noWrap/>
            <w:vAlign w:val="center"/>
          </w:tcPr>
          <w:p w14:paraId="2C8F1234" w14:textId="77777777" w:rsidR="005A6DBB" w:rsidRDefault="00F93099">
            <w:pPr>
              <w:spacing w:line="240" w:lineRule="auto"/>
              <w:jc w:val="center"/>
              <w:rPr>
                <w:rFonts w:cs="Calibri"/>
                <w:color w:val="FFFFFF"/>
                <w:sz w:val="16"/>
                <w:szCs w:val="16"/>
              </w:rPr>
            </w:pPr>
            <w:r>
              <w:rPr>
                <w:rFonts w:cs="Calibri"/>
                <w:color w:val="FFFFFF"/>
                <w:sz w:val="16"/>
                <w:szCs w:val="16"/>
              </w:rPr>
              <w:t>116.21</w:t>
            </w:r>
          </w:p>
        </w:tc>
        <w:tc>
          <w:tcPr>
            <w:tcW w:w="1248" w:type="dxa"/>
            <w:tcBorders>
              <w:top w:val="nil"/>
              <w:left w:val="nil"/>
              <w:bottom w:val="single" w:sz="4" w:space="0" w:color="auto"/>
              <w:right w:val="single" w:sz="4" w:space="0" w:color="auto"/>
            </w:tcBorders>
            <w:shd w:val="clear" w:color="auto" w:fill="FF0000"/>
            <w:noWrap/>
            <w:vAlign w:val="center"/>
          </w:tcPr>
          <w:p w14:paraId="07BA1316" w14:textId="77777777" w:rsidR="005A6DBB" w:rsidRDefault="00F93099">
            <w:pPr>
              <w:spacing w:line="240" w:lineRule="auto"/>
              <w:jc w:val="center"/>
              <w:rPr>
                <w:rFonts w:cs="Calibri"/>
                <w:color w:val="FFFFFF"/>
                <w:sz w:val="16"/>
                <w:szCs w:val="16"/>
              </w:rPr>
            </w:pPr>
            <w:r>
              <w:rPr>
                <w:rFonts w:cs="Calibri"/>
                <w:color w:val="FFFFFF"/>
                <w:sz w:val="16"/>
                <w:szCs w:val="16"/>
              </w:rPr>
              <w:t>88.15</w:t>
            </w:r>
          </w:p>
        </w:tc>
        <w:tc>
          <w:tcPr>
            <w:tcW w:w="1185" w:type="dxa"/>
            <w:tcBorders>
              <w:top w:val="nil"/>
              <w:left w:val="nil"/>
              <w:bottom w:val="single" w:sz="4" w:space="0" w:color="auto"/>
              <w:right w:val="single" w:sz="4" w:space="0" w:color="auto"/>
            </w:tcBorders>
            <w:shd w:val="clear" w:color="auto" w:fill="FF0000"/>
            <w:noWrap/>
            <w:vAlign w:val="center"/>
          </w:tcPr>
          <w:p w14:paraId="087ADD55" w14:textId="77777777" w:rsidR="005A6DBB" w:rsidRDefault="00F93099">
            <w:pPr>
              <w:spacing w:line="240" w:lineRule="auto"/>
              <w:jc w:val="center"/>
              <w:rPr>
                <w:rFonts w:cs="Calibri"/>
                <w:color w:val="FFFFFF"/>
                <w:sz w:val="16"/>
                <w:szCs w:val="16"/>
              </w:rPr>
            </w:pPr>
            <w:r>
              <w:rPr>
                <w:rFonts w:cs="Calibri"/>
                <w:color w:val="FFFFFF"/>
                <w:sz w:val="16"/>
                <w:szCs w:val="16"/>
              </w:rPr>
              <w:t>90.16</w:t>
            </w:r>
          </w:p>
        </w:tc>
        <w:tc>
          <w:tcPr>
            <w:tcW w:w="1185" w:type="dxa"/>
            <w:tcBorders>
              <w:top w:val="nil"/>
              <w:left w:val="nil"/>
              <w:bottom w:val="single" w:sz="4" w:space="0" w:color="auto"/>
              <w:right w:val="single" w:sz="4" w:space="0" w:color="auto"/>
            </w:tcBorders>
            <w:shd w:val="clear" w:color="auto" w:fill="FF0000"/>
            <w:noWrap/>
            <w:vAlign w:val="center"/>
          </w:tcPr>
          <w:p w14:paraId="6C89AB0A" w14:textId="77777777" w:rsidR="005A6DBB" w:rsidRDefault="00F93099">
            <w:pPr>
              <w:spacing w:line="240" w:lineRule="auto"/>
              <w:jc w:val="center"/>
              <w:rPr>
                <w:rFonts w:cs="Calibri"/>
                <w:color w:val="FFFFFF"/>
                <w:sz w:val="16"/>
                <w:szCs w:val="16"/>
              </w:rPr>
            </w:pPr>
            <w:r>
              <w:rPr>
                <w:rFonts w:cs="Calibri"/>
                <w:color w:val="FFFFFF"/>
                <w:sz w:val="16"/>
                <w:szCs w:val="16"/>
              </w:rPr>
              <w:t>97.17</w:t>
            </w:r>
          </w:p>
        </w:tc>
        <w:tc>
          <w:tcPr>
            <w:tcW w:w="1212" w:type="dxa"/>
            <w:tcBorders>
              <w:top w:val="nil"/>
              <w:left w:val="nil"/>
              <w:bottom w:val="single" w:sz="4" w:space="0" w:color="auto"/>
              <w:right w:val="single" w:sz="4" w:space="0" w:color="auto"/>
            </w:tcBorders>
            <w:shd w:val="clear" w:color="auto" w:fill="FF0000"/>
            <w:noWrap/>
            <w:vAlign w:val="center"/>
          </w:tcPr>
          <w:p w14:paraId="7873A26E" w14:textId="77777777" w:rsidR="005A6DBB" w:rsidRDefault="00F93099">
            <w:pPr>
              <w:spacing w:line="240" w:lineRule="auto"/>
              <w:jc w:val="center"/>
              <w:rPr>
                <w:rFonts w:cs="Calibri"/>
                <w:color w:val="FFFFFF"/>
                <w:sz w:val="16"/>
                <w:szCs w:val="16"/>
              </w:rPr>
            </w:pPr>
            <w:r>
              <w:rPr>
                <w:rFonts w:cs="Calibri"/>
                <w:color w:val="FFFFFF"/>
                <w:sz w:val="16"/>
                <w:szCs w:val="16"/>
              </w:rPr>
              <w:t>105.29</w:t>
            </w:r>
          </w:p>
        </w:tc>
      </w:tr>
      <w:tr w:rsidR="005A6DBB" w14:paraId="0380D947"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21C0FB99" w14:textId="77777777" w:rsidR="005A6DBB" w:rsidRDefault="00F93099">
            <w:pPr>
              <w:spacing w:line="240" w:lineRule="auto"/>
              <w:jc w:val="left"/>
              <w:rPr>
                <w:rFonts w:cs="Calibri"/>
                <w:b/>
                <w:bCs/>
                <w:color w:val="000000"/>
                <w:sz w:val="16"/>
                <w:szCs w:val="16"/>
              </w:rPr>
            </w:pPr>
            <w:r>
              <w:rPr>
                <w:rFonts w:cs="Calibri"/>
                <w:b/>
                <w:bCs/>
                <w:color w:val="000000"/>
                <w:sz w:val="16"/>
                <w:szCs w:val="16"/>
              </w:rPr>
              <w:t>Liquidity Management</w:t>
            </w:r>
          </w:p>
        </w:tc>
      </w:tr>
      <w:tr w:rsidR="005A6DBB" w14:paraId="2ED58BC8"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011C3138"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3198DC34" w14:textId="77777777" w:rsidR="005A6DBB" w:rsidRDefault="00F93099">
            <w:pPr>
              <w:spacing w:line="240" w:lineRule="auto"/>
              <w:jc w:val="left"/>
              <w:rPr>
                <w:rFonts w:cs="Calibri"/>
                <w:color w:val="000000"/>
                <w:sz w:val="16"/>
                <w:szCs w:val="16"/>
              </w:rPr>
            </w:pPr>
            <w:r>
              <w:rPr>
                <w:rFonts w:cs="Calibri"/>
                <w:color w:val="000000"/>
                <w:sz w:val="16"/>
                <w:szCs w:val="16"/>
              </w:rPr>
              <w:t>Cash / Cost Coverage Ratio (Excl. Unspent Conditional Grants)</w:t>
            </w:r>
          </w:p>
        </w:tc>
        <w:tc>
          <w:tcPr>
            <w:tcW w:w="836" w:type="dxa"/>
            <w:tcBorders>
              <w:top w:val="nil"/>
              <w:left w:val="nil"/>
              <w:bottom w:val="single" w:sz="4" w:space="0" w:color="auto"/>
              <w:right w:val="single" w:sz="4" w:space="0" w:color="auto"/>
            </w:tcBorders>
            <w:shd w:val="clear" w:color="000000" w:fill="FFFFFF"/>
            <w:noWrap/>
            <w:vAlign w:val="center"/>
          </w:tcPr>
          <w:p w14:paraId="50448CD5" w14:textId="77777777" w:rsidR="005A6DBB" w:rsidRDefault="00F93099">
            <w:pPr>
              <w:spacing w:line="240" w:lineRule="auto"/>
              <w:jc w:val="center"/>
              <w:rPr>
                <w:rFonts w:cs="Calibri"/>
                <w:color w:val="000000"/>
                <w:sz w:val="16"/>
                <w:szCs w:val="16"/>
              </w:rPr>
            </w:pPr>
            <w:r>
              <w:rPr>
                <w:rFonts w:cs="Calibri"/>
                <w:color w:val="000000"/>
                <w:sz w:val="16"/>
                <w:szCs w:val="16"/>
              </w:rPr>
              <w:t>1 - 3 Months</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0DBB9D4" w14:textId="77777777" w:rsidR="005A6DBB" w:rsidRDefault="00F93099">
            <w:pPr>
              <w:spacing w:line="240" w:lineRule="auto"/>
              <w:jc w:val="center"/>
              <w:rPr>
                <w:rFonts w:cs="Calibri"/>
                <w:color w:val="FFFFFF"/>
                <w:sz w:val="16"/>
                <w:szCs w:val="16"/>
              </w:rPr>
            </w:pPr>
            <w:r>
              <w:rPr>
                <w:rFonts w:cs="Calibri"/>
                <w:color w:val="FFFFFF"/>
                <w:sz w:val="16"/>
                <w:szCs w:val="16"/>
              </w:rPr>
              <w:t>-0.02</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3874F87F" w14:textId="77777777" w:rsidR="005A6DBB" w:rsidRDefault="00F93099">
            <w:pPr>
              <w:spacing w:line="240" w:lineRule="auto"/>
              <w:jc w:val="center"/>
              <w:rPr>
                <w:rFonts w:cs="Calibri"/>
                <w:color w:val="FFFFFF"/>
                <w:sz w:val="16"/>
                <w:szCs w:val="16"/>
              </w:rPr>
            </w:pPr>
            <w:r>
              <w:rPr>
                <w:rFonts w:cs="Calibri"/>
                <w:color w:val="FFFFFF"/>
                <w:sz w:val="16"/>
                <w:szCs w:val="16"/>
              </w:rPr>
              <w:t>0.36</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7A6DEAFD" w14:textId="77777777" w:rsidR="005A6DBB" w:rsidRDefault="00F93099">
            <w:pPr>
              <w:spacing w:line="240" w:lineRule="auto"/>
              <w:jc w:val="center"/>
              <w:rPr>
                <w:rFonts w:cs="Calibri"/>
                <w:color w:val="FFFFFF"/>
                <w:sz w:val="16"/>
                <w:szCs w:val="16"/>
              </w:rPr>
            </w:pPr>
            <w:r>
              <w:rPr>
                <w:rFonts w:cs="Calibri"/>
                <w:color w:val="FFFFFF"/>
                <w:sz w:val="16"/>
                <w:szCs w:val="16"/>
              </w:rPr>
              <w:t>0.31</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65DCD75B" w14:textId="77777777" w:rsidR="005A6DBB" w:rsidRDefault="00F93099">
            <w:pPr>
              <w:spacing w:line="240" w:lineRule="auto"/>
              <w:jc w:val="center"/>
              <w:rPr>
                <w:rFonts w:cs="Calibri"/>
                <w:color w:val="FFFFFF"/>
                <w:sz w:val="16"/>
                <w:szCs w:val="16"/>
              </w:rPr>
            </w:pPr>
            <w:r>
              <w:rPr>
                <w:rFonts w:cs="Calibri"/>
                <w:color w:val="FFFFFF"/>
                <w:sz w:val="16"/>
                <w:szCs w:val="16"/>
              </w:rPr>
              <w:t>-5.41</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643EAA2E" w14:textId="77777777" w:rsidR="005A6DBB" w:rsidRDefault="00F93099">
            <w:pPr>
              <w:spacing w:line="240" w:lineRule="auto"/>
              <w:jc w:val="center"/>
              <w:rPr>
                <w:rFonts w:cs="Calibri"/>
                <w:color w:val="FFFFFF"/>
                <w:sz w:val="16"/>
                <w:szCs w:val="16"/>
              </w:rPr>
            </w:pPr>
            <w:r>
              <w:rPr>
                <w:rFonts w:cs="Calibri"/>
                <w:color w:val="FFFFFF"/>
                <w:sz w:val="16"/>
                <w:szCs w:val="16"/>
              </w:rPr>
              <w:t>-6.51</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531384AC" w14:textId="77777777" w:rsidR="005A6DBB" w:rsidRDefault="00F93099">
            <w:pPr>
              <w:spacing w:line="240" w:lineRule="auto"/>
              <w:jc w:val="center"/>
              <w:rPr>
                <w:rFonts w:cs="Calibri"/>
                <w:color w:val="FFFFFF"/>
                <w:sz w:val="16"/>
                <w:szCs w:val="16"/>
              </w:rPr>
            </w:pPr>
            <w:r>
              <w:rPr>
                <w:rFonts w:cs="Calibri"/>
                <w:color w:val="FFFFFF"/>
                <w:sz w:val="16"/>
                <w:szCs w:val="16"/>
              </w:rPr>
              <w:t>-7.43</w:t>
            </w:r>
          </w:p>
        </w:tc>
      </w:tr>
      <w:tr w:rsidR="005A6DBB" w14:paraId="359BC77D"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51605491"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77992181" w14:textId="77777777" w:rsidR="005A6DBB" w:rsidRDefault="00F93099">
            <w:pPr>
              <w:spacing w:line="240" w:lineRule="auto"/>
              <w:jc w:val="left"/>
              <w:rPr>
                <w:rFonts w:cs="Calibri"/>
                <w:color w:val="000000"/>
                <w:sz w:val="16"/>
                <w:szCs w:val="16"/>
              </w:rPr>
            </w:pPr>
            <w:r>
              <w:rPr>
                <w:rFonts w:cs="Calibri"/>
                <w:color w:val="000000"/>
                <w:sz w:val="16"/>
                <w:szCs w:val="16"/>
              </w:rPr>
              <w:t xml:space="preserve">Current Ratio </w:t>
            </w:r>
          </w:p>
        </w:tc>
        <w:tc>
          <w:tcPr>
            <w:tcW w:w="836" w:type="dxa"/>
            <w:tcBorders>
              <w:top w:val="nil"/>
              <w:left w:val="nil"/>
              <w:bottom w:val="single" w:sz="4" w:space="0" w:color="auto"/>
              <w:right w:val="single" w:sz="4" w:space="0" w:color="auto"/>
            </w:tcBorders>
            <w:shd w:val="clear" w:color="000000" w:fill="FFFFFF"/>
            <w:noWrap/>
            <w:vAlign w:val="center"/>
          </w:tcPr>
          <w:p w14:paraId="48A7421B" w14:textId="77777777" w:rsidR="005A6DBB" w:rsidRDefault="00F93099">
            <w:pPr>
              <w:spacing w:line="240" w:lineRule="auto"/>
              <w:jc w:val="center"/>
              <w:rPr>
                <w:rFonts w:cs="Calibri"/>
                <w:color w:val="000000"/>
                <w:sz w:val="16"/>
                <w:szCs w:val="16"/>
              </w:rPr>
            </w:pPr>
            <w:r>
              <w:rPr>
                <w:rFonts w:cs="Calibri"/>
                <w:color w:val="000000"/>
                <w:sz w:val="16"/>
                <w:szCs w:val="16"/>
              </w:rPr>
              <w:t>1.5 - 2:1</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539FE38B" w14:textId="77777777" w:rsidR="005A6DBB" w:rsidRDefault="00F93099">
            <w:pPr>
              <w:spacing w:line="240" w:lineRule="auto"/>
              <w:jc w:val="center"/>
              <w:rPr>
                <w:rFonts w:cs="Calibri"/>
                <w:color w:val="FFFFFF"/>
                <w:sz w:val="16"/>
                <w:szCs w:val="16"/>
              </w:rPr>
            </w:pPr>
            <w:r>
              <w:rPr>
                <w:rFonts w:cs="Calibri"/>
                <w:color w:val="FFFFFF"/>
                <w:sz w:val="16"/>
                <w:szCs w:val="16"/>
              </w:rPr>
              <w:t>0.93</w:t>
            </w:r>
          </w:p>
        </w:tc>
        <w:tc>
          <w:tcPr>
            <w:tcW w:w="1244" w:type="dxa"/>
            <w:tcBorders>
              <w:top w:val="nil"/>
              <w:left w:val="nil"/>
              <w:bottom w:val="single" w:sz="4" w:space="0" w:color="auto"/>
              <w:right w:val="single" w:sz="4" w:space="0" w:color="auto"/>
            </w:tcBorders>
            <w:shd w:val="clear" w:color="auto" w:fill="FF0000"/>
            <w:noWrap/>
            <w:vAlign w:val="center"/>
          </w:tcPr>
          <w:p w14:paraId="37E92E41" w14:textId="77777777" w:rsidR="005A6DBB" w:rsidRDefault="00F93099">
            <w:pPr>
              <w:spacing w:line="240" w:lineRule="auto"/>
              <w:jc w:val="center"/>
              <w:rPr>
                <w:rFonts w:cs="Calibri"/>
                <w:color w:val="FFFFFF"/>
                <w:sz w:val="16"/>
                <w:szCs w:val="16"/>
              </w:rPr>
            </w:pPr>
            <w:r>
              <w:rPr>
                <w:rFonts w:cs="Calibri"/>
                <w:color w:val="FFFFFF"/>
                <w:sz w:val="16"/>
                <w:szCs w:val="16"/>
              </w:rPr>
              <w:t>0.95</w:t>
            </w:r>
          </w:p>
        </w:tc>
        <w:tc>
          <w:tcPr>
            <w:tcW w:w="1248" w:type="dxa"/>
            <w:tcBorders>
              <w:top w:val="nil"/>
              <w:left w:val="nil"/>
              <w:bottom w:val="single" w:sz="4" w:space="0" w:color="auto"/>
              <w:right w:val="single" w:sz="4" w:space="0" w:color="auto"/>
            </w:tcBorders>
            <w:shd w:val="clear" w:color="auto" w:fill="FF0000"/>
            <w:noWrap/>
            <w:vAlign w:val="center"/>
          </w:tcPr>
          <w:p w14:paraId="07A03687" w14:textId="77777777" w:rsidR="005A6DBB" w:rsidRDefault="00F93099">
            <w:pPr>
              <w:spacing w:line="240" w:lineRule="auto"/>
              <w:jc w:val="center"/>
              <w:rPr>
                <w:rFonts w:cs="Calibri"/>
                <w:color w:val="FFFFFF"/>
                <w:sz w:val="16"/>
                <w:szCs w:val="16"/>
              </w:rPr>
            </w:pPr>
            <w:r>
              <w:rPr>
                <w:rFonts w:cs="Calibri"/>
                <w:color w:val="FFFFFF"/>
                <w:sz w:val="16"/>
                <w:szCs w:val="16"/>
              </w:rPr>
              <w:t>0.87</w:t>
            </w:r>
          </w:p>
        </w:tc>
        <w:tc>
          <w:tcPr>
            <w:tcW w:w="1185" w:type="dxa"/>
            <w:tcBorders>
              <w:top w:val="nil"/>
              <w:left w:val="nil"/>
              <w:bottom w:val="single" w:sz="4" w:space="0" w:color="auto"/>
              <w:right w:val="single" w:sz="4" w:space="0" w:color="auto"/>
            </w:tcBorders>
            <w:shd w:val="clear" w:color="auto" w:fill="FF0000"/>
            <w:noWrap/>
            <w:vAlign w:val="center"/>
          </w:tcPr>
          <w:p w14:paraId="28589463" w14:textId="77777777" w:rsidR="005A6DBB" w:rsidRDefault="00F93099">
            <w:pPr>
              <w:spacing w:line="240" w:lineRule="auto"/>
              <w:jc w:val="center"/>
              <w:rPr>
                <w:rFonts w:cs="Calibri"/>
                <w:color w:val="FFFFFF"/>
                <w:sz w:val="16"/>
                <w:szCs w:val="16"/>
              </w:rPr>
            </w:pPr>
            <w:r>
              <w:rPr>
                <w:rFonts w:cs="Calibri"/>
                <w:color w:val="FFFFFF"/>
                <w:sz w:val="16"/>
                <w:szCs w:val="16"/>
              </w:rPr>
              <w:t>0.63</w:t>
            </w:r>
          </w:p>
        </w:tc>
        <w:tc>
          <w:tcPr>
            <w:tcW w:w="1185" w:type="dxa"/>
            <w:tcBorders>
              <w:top w:val="nil"/>
              <w:left w:val="nil"/>
              <w:bottom w:val="single" w:sz="4" w:space="0" w:color="auto"/>
              <w:right w:val="single" w:sz="4" w:space="0" w:color="auto"/>
            </w:tcBorders>
            <w:shd w:val="clear" w:color="auto" w:fill="FF0000"/>
            <w:noWrap/>
            <w:vAlign w:val="center"/>
          </w:tcPr>
          <w:p w14:paraId="69416E68" w14:textId="77777777" w:rsidR="005A6DBB" w:rsidRDefault="00F93099">
            <w:pPr>
              <w:spacing w:line="240" w:lineRule="auto"/>
              <w:jc w:val="center"/>
              <w:rPr>
                <w:rFonts w:cs="Calibri"/>
                <w:color w:val="FFFFFF"/>
                <w:sz w:val="16"/>
                <w:szCs w:val="16"/>
              </w:rPr>
            </w:pPr>
            <w:r>
              <w:rPr>
                <w:rFonts w:cs="Calibri"/>
                <w:color w:val="FFFFFF"/>
                <w:sz w:val="16"/>
                <w:szCs w:val="16"/>
              </w:rPr>
              <w:t>0.50</w:t>
            </w:r>
          </w:p>
        </w:tc>
        <w:tc>
          <w:tcPr>
            <w:tcW w:w="1212" w:type="dxa"/>
            <w:tcBorders>
              <w:top w:val="nil"/>
              <w:left w:val="nil"/>
              <w:bottom w:val="single" w:sz="4" w:space="0" w:color="auto"/>
              <w:right w:val="single" w:sz="4" w:space="0" w:color="auto"/>
            </w:tcBorders>
            <w:shd w:val="clear" w:color="auto" w:fill="FF0000"/>
            <w:noWrap/>
            <w:vAlign w:val="center"/>
          </w:tcPr>
          <w:p w14:paraId="0E3580D3" w14:textId="77777777" w:rsidR="005A6DBB" w:rsidRDefault="00F93099">
            <w:pPr>
              <w:spacing w:line="240" w:lineRule="auto"/>
              <w:jc w:val="center"/>
              <w:rPr>
                <w:rFonts w:cs="Calibri"/>
                <w:color w:val="FFFFFF"/>
                <w:sz w:val="16"/>
                <w:szCs w:val="16"/>
              </w:rPr>
            </w:pPr>
            <w:r>
              <w:rPr>
                <w:rFonts w:cs="Calibri"/>
                <w:color w:val="FFFFFF"/>
                <w:sz w:val="16"/>
                <w:szCs w:val="16"/>
              </w:rPr>
              <w:t>0.42</w:t>
            </w:r>
          </w:p>
        </w:tc>
      </w:tr>
      <w:tr w:rsidR="005A6DBB" w14:paraId="37DF2950"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3440E007" w14:textId="77777777" w:rsidR="005A6DBB" w:rsidRDefault="00F93099">
            <w:pPr>
              <w:spacing w:line="240" w:lineRule="auto"/>
              <w:jc w:val="left"/>
              <w:rPr>
                <w:rFonts w:cs="Calibri"/>
                <w:b/>
                <w:bCs/>
                <w:color w:val="000000"/>
                <w:sz w:val="16"/>
                <w:szCs w:val="16"/>
              </w:rPr>
            </w:pPr>
            <w:r>
              <w:rPr>
                <w:rFonts w:cs="Calibri"/>
                <w:b/>
                <w:bCs/>
                <w:color w:val="000000"/>
                <w:sz w:val="16"/>
                <w:szCs w:val="16"/>
              </w:rPr>
              <w:t>Liability Management</w:t>
            </w:r>
          </w:p>
        </w:tc>
      </w:tr>
      <w:tr w:rsidR="005A6DBB" w14:paraId="6DC98B8E"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0740A175"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557EAC3E" w14:textId="77777777" w:rsidR="005A6DBB" w:rsidRDefault="00F93099">
            <w:pPr>
              <w:spacing w:line="240" w:lineRule="auto"/>
              <w:jc w:val="left"/>
              <w:rPr>
                <w:rFonts w:cs="Calibri"/>
                <w:color w:val="000000"/>
                <w:sz w:val="16"/>
                <w:szCs w:val="16"/>
              </w:rPr>
            </w:pPr>
            <w:r>
              <w:rPr>
                <w:rFonts w:cs="Calibri"/>
                <w:color w:val="000000"/>
                <w:sz w:val="16"/>
                <w:szCs w:val="16"/>
              </w:rPr>
              <w:t xml:space="preserve">Capital Cost (Interest Paid and Redemption) as a % of Total Operating Expenditure </w:t>
            </w:r>
          </w:p>
        </w:tc>
        <w:tc>
          <w:tcPr>
            <w:tcW w:w="836" w:type="dxa"/>
            <w:tcBorders>
              <w:top w:val="nil"/>
              <w:left w:val="nil"/>
              <w:bottom w:val="single" w:sz="4" w:space="0" w:color="auto"/>
              <w:right w:val="single" w:sz="4" w:space="0" w:color="auto"/>
            </w:tcBorders>
            <w:shd w:val="clear" w:color="000000" w:fill="FFFFFF"/>
            <w:noWrap/>
            <w:vAlign w:val="center"/>
          </w:tcPr>
          <w:p w14:paraId="77A29CD6" w14:textId="77777777" w:rsidR="005A6DBB" w:rsidRDefault="00F93099">
            <w:pPr>
              <w:spacing w:line="240" w:lineRule="auto"/>
              <w:jc w:val="center"/>
              <w:rPr>
                <w:rFonts w:cs="Calibri"/>
                <w:color w:val="000000"/>
                <w:sz w:val="16"/>
                <w:szCs w:val="16"/>
              </w:rPr>
            </w:pPr>
            <w:r>
              <w:rPr>
                <w:rFonts w:cs="Calibri"/>
                <w:color w:val="000000"/>
                <w:sz w:val="16"/>
                <w:szCs w:val="16"/>
              </w:rPr>
              <w:t>6%-8%</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467C789" w14:textId="77777777" w:rsidR="005A6DBB" w:rsidRDefault="00F93099">
            <w:pPr>
              <w:spacing w:line="240" w:lineRule="auto"/>
              <w:jc w:val="center"/>
              <w:rPr>
                <w:rFonts w:cs="Calibri"/>
                <w:color w:val="FFFFFF"/>
                <w:sz w:val="16"/>
                <w:szCs w:val="16"/>
              </w:rPr>
            </w:pPr>
            <w:r>
              <w:rPr>
                <w:rFonts w:cs="Calibri"/>
                <w:color w:val="FFFFFF"/>
                <w:sz w:val="16"/>
                <w:szCs w:val="16"/>
              </w:rPr>
              <w:t>3.46%</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0C5EAE1C" w14:textId="77777777" w:rsidR="005A6DBB" w:rsidRDefault="00F93099">
            <w:pPr>
              <w:spacing w:line="240" w:lineRule="auto"/>
              <w:jc w:val="center"/>
              <w:rPr>
                <w:rFonts w:cs="Calibri"/>
                <w:color w:val="FFFFFF"/>
                <w:sz w:val="16"/>
                <w:szCs w:val="16"/>
              </w:rPr>
            </w:pPr>
            <w:r>
              <w:rPr>
                <w:rFonts w:cs="Calibri"/>
                <w:color w:val="FFFFFF"/>
                <w:sz w:val="16"/>
                <w:szCs w:val="16"/>
              </w:rPr>
              <w:t>4.30%</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274A2BC2" w14:textId="77777777" w:rsidR="005A6DBB" w:rsidRDefault="00F93099">
            <w:pPr>
              <w:spacing w:line="240" w:lineRule="auto"/>
              <w:jc w:val="center"/>
              <w:rPr>
                <w:rFonts w:cs="Calibri"/>
                <w:color w:val="FFFFFF"/>
                <w:sz w:val="16"/>
                <w:szCs w:val="16"/>
              </w:rPr>
            </w:pPr>
            <w:r>
              <w:rPr>
                <w:rFonts w:cs="Calibri"/>
                <w:color w:val="FFFFFF"/>
                <w:sz w:val="16"/>
                <w:szCs w:val="16"/>
              </w:rPr>
              <w:t>2.82%</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637D852B" w14:textId="77777777" w:rsidR="005A6DBB" w:rsidRDefault="00F93099">
            <w:pPr>
              <w:spacing w:line="240" w:lineRule="auto"/>
              <w:jc w:val="center"/>
              <w:rPr>
                <w:rFonts w:cs="Calibri"/>
                <w:color w:val="FFFFFF"/>
                <w:sz w:val="16"/>
                <w:szCs w:val="16"/>
              </w:rPr>
            </w:pPr>
            <w:r>
              <w:rPr>
                <w:rFonts w:cs="Calibri"/>
                <w:color w:val="FFFFFF"/>
                <w:sz w:val="16"/>
                <w:szCs w:val="16"/>
              </w:rPr>
              <w:t>4.87%</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616ABEB3" w14:textId="77777777" w:rsidR="005A6DBB" w:rsidRDefault="00F93099">
            <w:pPr>
              <w:spacing w:line="240" w:lineRule="auto"/>
              <w:jc w:val="center"/>
              <w:rPr>
                <w:rFonts w:cs="Calibri"/>
                <w:color w:val="FFFFFF"/>
                <w:sz w:val="16"/>
                <w:szCs w:val="16"/>
              </w:rPr>
            </w:pPr>
            <w:r>
              <w:rPr>
                <w:rFonts w:cs="Calibri"/>
                <w:color w:val="FFFFFF"/>
                <w:sz w:val="16"/>
                <w:szCs w:val="16"/>
              </w:rPr>
              <w:t>2.31%</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5722D170" w14:textId="77777777" w:rsidR="005A6DBB" w:rsidRDefault="00F93099">
            <w:pPr>
              <w:spacing w:line="240" w:lineRule="auto"/>
              <w:jc w:val="center"/>
              <w:rPr>
                <w:rFonts w:cs="Calibri"/>
                <w:color w:val="FFFFFF"/>
                <w:sz w:val="16"/>
                <w:szCs w:val="16"/>
              </w:rPr>
            </w:pPr>
            <w:r>
              <w:rPr>
                <w:rFonts w:cs="Calibri"/>
                <w:color w:val="FFFFFF"/>
                <w:sz w:val="16"/>
                <w:szCs w:val="16"/>
              </w:rPr>
              <w:t>1.99%</w:t>
            </w:r>
          </w:p>
        </w:tc>
      </w:tr>
      <w:tr w:rsidR="005A6DBB" w14:paraId="6B6FC6AD"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7FBA691"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3C31FCBE" w14:textId="77777777" w:rsidR="005A6DBB" w:rsidRDefault="00F93099">
            <w:pPr>
              <w:spacing w:line="240" w:lineRule="auto"/>
              <w:jc w:val="left"/>
              <w:rPr>
                <w:rFonts w:cs="Calibri"/>
                <w:color w:val="000000"/>
                <w:sz w:val="16"/>
                <w:szCs w:val="16"/>
              </w:rPr>
            </w:pPr>
            <w:r>
              <w:rPr>
                <w:rFonts w:cs="Calibri"/>
                <w:color w:val="000000"/>
                <w:sz w:val="16"/>
                <w:szCs w:val="16"/>
              </w:rPr>
              <w:t>Debt (Total Borrowings) / Revenue</w:t>
            </w:r>
          </w:p>
        </w:tc>
        <w:tc>
          <w:tcPr>
            <w:tcW w:w="836" w:type="dxa"/>
            <w:tcBorders>
              <w:top w:val="nil"/>
              <w:left w:val="nil"/>
              <w:bottom w:val="single" w:sz="4" w:space="0" w:color="auto"/>
              <w:right w:val="single" w:sz="4" w:space="0" w:color="auto"/>
            </w:tcBorders>
            <w:shd w:val="clear" w:color="000000" w:fill="FFFFFF"/>
            <w:noWrap/>
            <w:vAlign w:val="center"/>
          </w:tcPr>
          <w:p w14:paraId="64B9C65C" w14:textId="77777777" w:rsidR="005A6DBB" w:rsidRDefault="00F93099">
            <w:pPr>
              <w:spacing w:line="240" w:lineRule="auto"/>
              <w:jc w:val="center"/>
              <w:rPr>
                <w:rFonts w:cs="Calibri"/>
                <w:color w:val="000000"/>
                <w:sz w:val="16"/>
                <w:szCs w:val="16"/>
              </w:rPr>
            </w:pPr>
            <w:r>
              <w:rPr>
                <w:rFonts w:cs="Calibri"/>
                <w:color w:val="000000"/>
                <w:sz w:val="16"/>
                <w:szCs w:val="16"/>
              </w:rPr>
              <w:t>45%</w:t>
            </w:r>
          </w:p>
        </w:tc>
        <w:tc>
          <w:tcPr>
            <w:tcW w:w="1244" w:type="dxa"/>
            <w:tcBorders>
              <w:top w:val="nil"/>
              <w:left w:val="single" w:sz="4" w:space="0" w:color="auto"/>
              <w:bottom w:val="single" w:sz="4" w:space="0" w:color="auto"/>
              <w:right w:val="single" w:sz="4" w:space="0" w:color="auto"/>
            </w:tcBorders>
            <w:shd w:val="clear" w:color="auto" w:fill="00B050"/>
            <w:noWrap/>
            <w:vAlign w:val="center"/>
          </w:tcPr>
          <w:p w14:paraId="45FBA03F" w14:textId="77777777" w:rsidR="005A6DBB" w:rsidRDefault="00F93099">
            <w:pPr>
              <w:spacing w:line="240" w:lineRule="auto"/>
              <w:jc w:val="center"/>
              <w:rPr>
                <w:rFonts w:cs="Calibri"/>
                <w:color w:val="FFFFFF"/>
                <w:sz w:val="16"/>
                <w:szCs w:val="16"/>
              </w:rPr>
            </w:pPr>
            <w:r>
              <w:rPr>
                <w:rFonts w:cs="Calibri"/>
                <w:color w:val="FFFFFF"/>
                <w:sz w:val="16"/>
                <w:szCs w:val="16"/>
              </w:rPr>
              <w:t>13.90%</w:t>
            </w:r>
          </w:p>
        </w:tc>
        <w:tc>
          <w:tcPr>
            <w:tcW w:w="1244" w:type="dxa"/>
            <w:tcBorders>
              <w:top w:val="nil"/>
              <w:left w:val="nil"/>
              <w:bottom w:val="single" w:sz="4" w:space="0" w:color="auto"/>
              <w:right w:val="single" w:sz="4" w:space="0" w:color="auto"/>
            </w:tcBorders>
            <w:shd w:val="clear" w:color="auto" w:fill="00B050"/>
            <w:noWrap/>
            <w:vAlign w:val="center"/>
          </w:tcPr>
          <w:p w14:paraId="613F6F25" w14:textId="77777777" w:rsidR="005A6DBB" w:rsidRDefault="00F93099">
            <w:pPr>
              <w:spacing w:line="240" w:lineRule="auto"/>
              <w:jc w:val="center"/>
              <w:rPr>
                <w:rFonts w:cs="Calibri"/>
                <w:color w:val="FFFFFF"/>
                <w:sz w:val="16"/>
                <w:szCs w:val="16"/>
              </w:rPr>
            </w:pPr>
            <w:r>
              <w:rPr>
                <w:rFonts w:cs="Calibri"/>
                <w:color w:val="FFFFFF"/>
                <w:sz w:val="16"/>
                <w:szCs w:val="16"/>
              </w:rPr>
              <w:t>10.83%</w:t>
            </w:r>
          </w:p>
        </w:tc>
        <w:tc>
          <w:tcPr>
            <w:tcW w:w="1248" w:type="dxa"/>
            <w:tcBorders>
              <w:top w:val="nil"/>
              <w:left w:val="nil"/>
              <w:bottom w:val="single" w:sz="4" w:space="0" w:color="auto"/>
              <w:right w:val="single" w:sz="4" w:space="0" w:color="auto"/>
            </w:tcBorders>
            <w:shd w:val="clear" w:color="auto" w:fill="00B050"/>
            <w:noWrap/>
            <w:vAlign w:val="center"/>
          </w:tcPr>
          <w:p w14:paraId="5997CB9C" w14:textId="77777777" w:rsidR="005A6DBB" w:rsidRDefault="00F93099">
            <w:pPr>
              <w:spacing w:line="240" w:lineRule="auto"/>
              <w:jc w:val="center"/>
              <w:rPr>
                <w:rFonts w:cs="Calibri"/>
                <w:color w:val="FFFFFF"/>
                <w:sz w:val="16"/>
                <w:szCs w:val="16"/>
              </w:rPr>
            </w:pPr>
            <w:r>
              <w:rPr>
                <w:rFonts w:cs="Calibri"/>
                <w:color w:val="FFFFFF"/>
                <w:sz w:val="16"/>
                <w:szCs w:val="16"/>
              </w:rPr>
              <w:t>8.20%</w:t>
            </w:r>
          </w:p>
        </w:tc>
        <w:tc>
          <w:tcPr>
            <w:tcW w:w="1185" w:type="dxa"/>
            <w:tcBorders>
              <w:top w:val="nil"/>
              <w:left w:val="nil"/>
              <w:bottom w:val="single" w:sz="4" w:space="0" w:color="auto"/>
              <w:right w:val="single" w:sz="4" w:space="0" w:color="auto"/>
            </w:tcBorders>
            <w:shd w:val="clear" w:color="auto" w:fill="00B050"/>
            <w:noWrap/>
            <w:vAlign w:val="center"/>
          </w:tcPr>
          <w:p w14:paraId="2F6B1277" w14:textId="77777777" w:rsidR="005A6DBB" w:rsidRDefault="00F93099">
            <w:pPr>
              <w:spacing w:line="240" w:lineRule="auto"/>
              <w:jc w:val="center"/>
              <w:rPr>
                <w:rFonts w:cs="Calibri"/>
                <w:color w:val="FFFFFF"/>
                <w:sz w:val="16"/>
                <w:szCs w:val="16"/>
              </w:rPr>
            </w:pPr>
            <w:r>
              <w:rPr>
                <w:rFonts w:cs="Calibri"/>
                <w:color w:val="FFFFFF"/>
                <w:sz w:val="16"/>
                <w:szCs w:val="16"/>
              </w:rPr>
              <w:t>16.73%</w:t>
            </w:r>
          </w:p>
        </w:tc>
        <w:tc>
          <w:tcPr>
            <w:tcW w:w="1185" w:type="dxa"/>
            <w:tcBorders>
              <w:top w:val="nil"/>
              <w:left w:val="nil"/>
              <w:bottom w:val="single" w:sz="4" w:space="0" w:color="auto"/>
              <w:right w:val="single" w:sz="4" w:space="0" w:color="auto"/>
            </w:tcBorders>
            <w:shd w:val="clear" w:color="auto" w:fill="00B050"/>
            <w:noWrap/>
            <w:vAlign w:val="center"/>
          </w:tcPr>
          <w:p w14:paraId="39B01D32" w14:textId="77777777" w:rsidR="005A6DBB" w:rsidRDefault="00F93099">
            <w:pPr>
              <w:spacing w:line="240" w:lineRule="auto"/>
              <w:jc w:val="center"/>
              <w:rPr>
                <w:rFonts w:cs="Calibri"/>
                <w:color w:val="FFFFFF"/>
                <w:sz w:val="16"/>
                <w:szCs w:val="16"/>
              </w:rPr>
            </w:pPr>
            <w:r>
              <w:rPr>
                <w:rFonts w:cs="Calibri"/>
                <w:color w:val="FFFFFF"/>
                <w:sz w:val="16"/>
                <w:szCs w:val="16"/>
              </w:rPr>
              <w:t>8.43%</w:t>
            </w:r>
          </w:p>
        </w:tc>
        <w:tc>
          <w:tcPr>
            <w:tcW w:w="1212" w:type="dxa"/>
            <w:tcBorders>
              <w:top w:val="nil"/>
              <w:left w:val="nil"/>
              <w:bottom w:val="single" w:sz="4" w:space="0" w:color="auto"/>
              <w:right w:val="single" w:sz="4" w:space="0" w:color="auto"/>
            </w:tcBorders>
            <w:shd w:val="clear" w:color="auto" w:fill="00B050"/>
            <w:noWrap/>
            <w:vAlign w:val="center"/>
          </w:tcPr>
          <w:p w14:paraId="345CE952" w14:textId="77777777" w:rsidR="005A6DBB" w:rsidRDefault="00F93099">
            <w:pPr>
              <w:spacing w:line="240" w:lineRule="auto"/>
              <w:jc w:val="center"/>
              <w:rPr>
                <w:rFonts w:cs="Calibri"/>
                <w:color w:val="FFFFFF"/>
                <w:sz w:val="16"/>
                <w:szCs w:val="16"/>
              </w:rPr>
            </w:pPr>
            <w:r>
              <w:rPr>
                <w:rFonts w:cs="Calibri"/>
                <w:color w:val="FFFFFF"/>
                <w:sz w:val="16"/>
                <w:szCs w:val="16"/>
              </w:rPr>
              <w:t>4.14%</w:t>
            </w:r>
          </w:p>
        </w:tc>
      </w:tr>
      <w:tr w:rsidR="005A6DBB" w14:paraId="444E5DB6" w14:textId="77777777">
        <w:trPr>
          <w:trHeight w:val="312"/>
        </w:trPr>
        <w:tc>
          <w:tcPr>
            <w:tcW w:w="1793" w:type="dxa"/>
            <w:tcBorders>
              <w:top w:val="nil"/>
              <w:left w:val="single" w:sz="4" w:space="0" w:color="auto"/>
              <w:bottom w:val="single" w:sz="4" w:space="0" w:color="auto"/>
              <w:right w:val="single" w:sz="4" w:space="0" w:color="auto"/>
            </w:tcBorders>
            <w:shd w:val="clear" w:color="000000" w:fill="BFBFBF"/>
            <w:noWrap/>
            <w:vAlign w:val="center"/>
          </w:tcPr>
          <w:p w14:paraId="3A25DD86" w14:textId="77777777" w:rsidR="005A6DBB" w:rsidRDefault="00F93099">
            <w:pPr>
              <w:spacing w:line="240" w:lineRule="auto"/>
              <w:jc w:val="left"/>
              <w:rPr>
                <w:rFonts w:cs="Calibri"/>
                <w:b/>
                <w:bCs/>
                <w:color w:val="000000"/>
                <w:sz w:val="16"/>
                <w:szCs w:val="16"/>
              </w:rPr>
            </w:pPr>
            <w:r>
              <w:rPr>
                <w:rFonts w:cs="Calibri"/>
                <w:b/>
                <w:bCs/>
                <w:color w:val="000000"/>
                <w:sz w:val="16"/>
                <w:szCs w:val="16"/>
              </w:rPr>
              <w:t>FINANCIAL PERFORMANCE</w:t>
            </w:r>
          </w:p>
        </w:tc>
        <w:tc>
          <w:tcPr>
            <w:tcW w:w="3940" w:type="dxa"/>
            <w:tcBorders>
              <w:top w:val="nil"/>
              <w:left w:val="nil"/>
              <w:bottom w:val="single" w:sz="4" w:space="0" w:color="auto"/>
              <w:right w:val="single" w:sz="4" w:space="0" w:color="auto"/>
            </w:tcBorders>
            <w:shd w:val="clear" w:color="000000" w:fill="BFBFBF"/>
            <w:noWrap/>
            <w:vAlign w:val="center"/>
          </w:tcPr>
          <w:p w14:paraId="59B02F20" w14:textId="77777777" w:rsidR="005A6DBB" w:rsidRDefault="00F93099">
            <w:pPr>
              <w:spacing w:line="240" w:lineRule="auto"/>
              <w:jc w:val="left"/>
              <w:rPr>
                <w:rFonts w:cs="Calibri"/>
                <w:b/>
                <w:bCs/>
                <w:color w:val="000000"/>
                <w:sz w:val="16"/>
                <w:szCs w:val="16"/>
              </w:rPr>
            </w:pPr>
            <w:r>
              <w:rPr>
                <w:rFonts w:cs="Calibri"/>
                <w:b/>
                <w:bCs/>
                <w:color w:val="000000"/>
                <w:sz w:val="16"/>
                <w:szCs w:val="16"/>
              </w:rPr>
              <w:t> </w:t>
            </w:r>
          </w:p>
        </w:tc>
        <w:tc>
          <w:tcPr>
            <w:tcW w:w="836" w:type="dxa"/>
            <w:tcBorders>
              <w:top w:val="nil"/>
              <w:left w:val="nil"/>
              <w:bottom w:val="single" w:sz="4" w:space="0" w:color="auto"/>
              <w:right w:val="single" w:sz="4" w:space="0" w:color="auto"/>
            </w:tcBorders>
            <w:shd w:val="clear" w:color="000000" w:fill="BFBFBF"/>
            <w:noWrap/>
            <w:vAlign w:val="center"/>
          </w:tcPr>
          <w:p w14:paraId="570CC979" w14:textId="77777777" w:rsidR="005A6DBB" w:rsidRDefault="00F93099">
            <w:pPr>
              <w:spacing w:line="240" w:lineRule="auto"/>
              <w:jc w:val="left"/>
              <w:rPr>
                <w:rFonts w:cs="Calibri"/>
                <w:szCs w:val="22"/>
              </w:rPr>
            </w:pPr>
            <w:r>
              <w:rPr>
                <w:rFonts w:cs="Calibri"/>
                <w:szCs w:val="22"/>
              </w:rPr>
              <w:t> </w:t>
            </w:r>
          </w:p>
        </w:tc>
        <w:tc>
          <w:tcPr>
            <w:tcW w:w="1244" w:type="dxa"/>
            <w:tcBorders>
              <w:top w:val="nil"/>
              <w:left w:val="nil"/>
              <w:bottom w:val="single" w:sz="4" w:space="0" w:color="auto"/>
              <w:right w:val="single" w:sz="4" w:space="0" w:color="auto"/>
            </w:tcBorders>
            <w:shd w:val="clear" w:color="000000" w:fill="BFBFBF"/>
            <w:noWrap/>
            <w:vAlign w:val="center"/>
          </w:tcPr>
          <w:p w14:paraId="209A018C" w14:textId="77777777" w:rsidR="005A6DBB" w:rsidRDefault="00F93099">
            <w:pPr>
              <w:spacing w:line="240" w:lineRule="auto"/>
              <w:jc w:val="left"/>
              <w:rPr>
                <w:rFonts w:cs="Calibri"/>
                <w:color w:val="FFFFFF"/>
                <w:sz w:val="16"/>
                <w:szCs w:val="16"/>
              </w:rPr>
            </w:pPr>
            <w:r>
              <w:rPr>
                <w:rFonts w:cs="Calibri"/>
                <w:color w:val="FFFFFF"/>
                <w:sz w:val="16"/>
                <w:szCs w:val="16"/>
              </w:rPr>
              <w:t> </w:t>
            </w:r>
          </w:p>
        </w:tc>
        <w:tc>
          <w:tcPr>
            <w:tcW w:w="1244" w:type="dxa"/>
            <w:tcBorders>
              <w:top w:val="nil"/>
              <w:left w:val="nil"/>
              <w:bottom w:val="single" w:sz="4" w:space="0" w:color="auto"/>
              <w:right w:val="single" w:sz="4" w:space="0" w:color="auto"/>
            </w:tcBorders>
            <w:shd w:val="clear" w:color="000000" w:fill="BFBFBF"/>
            <w:noWrap/>
            <w:vAlign w:val="center"/>
          </w:tcPr>
          <w:p w14:paraId="4F3A227D" w14:textId="77777777" w:rsidR="005A6DBB" w:rsidRDefault="00F93099">
            <w:pPr>
              <w:spacing w:line="240" w:lineRule="auto"/>
              <w:jc w:val="left"/>
              <w:rPr>
                <w:rFonts w:cs="Calibri"/>
                <w:color w:val="FFFFFF"/>
                <w:sz w:val="16"/>
                <w:szCs w:val="16"/>
              </w:rPr>
            </w:pPr>
            <w:r>
              <w:rPr>
                <w:rFonts w:cs="Calibri"/>
                <w:color w:val="FFFFFF"/>
                <w:sz w:val="16"/>
                <w:szCs w:val="16"/>
              </w:rPr>
              <w:t> </w:t>
            </w:r>
          </w:p>
        </w:tc>
        <w:tc>
          <w:tcPr>
            <w:tcW w:w="1248" w:type="dxa"/>
            <w:tcBorders>
              <w:top w:val="nil"/>
              <w:left w:val="nil"/>
              <w:bottom w:val="single" w:sz="4" w:space="0" w:color="auto"/>
              <w:right w:val="single" w:sz="4" w:space="0" w:color="auto"/>
            </w:tcBorders>
            <w:shd w:val="clear" w:color="000000" w:fill="BFBFBF"/>
            <w:noWrap/>
            <w:vAlign w:val="center"/>
          </w:tcPr>
          <w:p w14:paraId="0449EBF5" w14:textId="77777777" w:rsidR="005A6DBB" w:rsidRDefault="00F93099">
            <w:pPr>
              <w:spacing w:line="240" w:lineRule="auto"/>
              <w:jc w:val="left"/>
              <w:rPr>
                <w:rFonts w:cs="Calibri"/>
                <w:color w:val="FFFFFF"/>
                <w:sz w:val="16"/>
                <w:szCs w:val="16"/>
              </w:rPr>
            </w:pPr>
            <w:r>
              <w:rPr>
                <w:rFonts w:cs="Calibri"/>
                <w:color w:val="FFFFFF"/>
                <w:sz w:val="16"/>
                <w:szCs w:val="16"/>
              </w:rPr>
              <w:t> </w:t>
            </w:r>
          </w:p>
        </w:tc>
        <w:tc>
          <w:tcPr>
            <w:tcW w:w="1185" w:type="dxa"/>
            <w:tcBorders>
              <w:top w:val="nil"/>
              <w:left w:val="nil"/>
              <w:bottom w:val="single" w:sz="4" w:space="0" w:color="auto"/>
              <w:right w:val="single" w:sz="4" w:space="0" w:color="auto"/>
            </w:tcBorders>
            <w:shd w:val="clear" w:color="000000" w:fill="BFBFBF"/>
            <w:noWrap/>
            <w:vAlign w:val="center"/>
          </w:tcPr>
          <w:p w14:paraId="22EDC19D" w14:textId="77777777" w:rsidR="005A6DBB" w:rsidRDefault="00F93099">
            <w:pPr>
              <w:spacing w:line="240" w:lineRule="auto"/>
              <w:jc w:val="left"/>
              <w:rPr>
                <w:rFonts w:cs="Calibri"/>
                <w:color w:val="FFFFFF"/>
                <w:sz w:val="16"/>
                <w:szCs w:val="16"/>
              </w:rPr>
            </w:pPr>
            <w:r>
              <w:rPr>
                <w:rFonts w:cs="Calibri"/>
                <w:color w:val="FFFFFF"/>
                <w:sz w:val="16"/>
                <w:szCs w:val="16"/>
              </w:rPr>
              <w:t> </w:t>
            </w:r>
          </w:p>
        </w:tc>
        <w:tc>
          <w:tcPr>
            <w:tcW w:w="1185" w:type="dxa"/>
            <w:tcBorders>
              <w:top w:val="nil"/>
              <w:left w:val="nil"/>
              <w:bottom w:val="single" w:sz="4" w:space="0" w:color="auto"/>
              <w:right w:val="single" w:sz="4" w:space="0" w:color="auto"/>
            </w:tcBorders>
            <w:shd w:val="clear" w:color="000000" w:fill="BFBFBF"/>
            <w:noWrap/>
            <w:vAlign w:val="center"/>
          </w:tcPr>
          <w:p w14:paraId="162972F0" w14:textId="77777777" w:rsidR="005A6DBB" w:rsidRDefault="00F93099">
            <w:pPr>
              <w:spacing w:line="240" w:lineRule="auto"/>
              <w:jc w:val="left"/>
              <w:rPr>
                <w:rFonts w:cs="Calibri"/>
                <w:color w:val="FFFFFF"/>
                <w:sz w:val="16"/>
                <w:szCs w:val="16"/>
              </w:rPr>
            </w:pPr>
            <w:r>
              <w:rPr>
                <w:rFonts w:cs="Calibri"/>
                <w:color w:val="FFFFFF"/>
                <w:sz w:val="16"/>
                <w:szCs w:val="16"/>
              </w:rPr>
              <w:t> </w:t>
            </w:r>
          </w:p>
        </w:tc>
        <w:tc>
          <w:tcPr>
            <w:tcW w:w="1212" w:type="dxa"/>
            <w:tcBorders>
              <w:top w:val="nil"/>
              <w:left w:val="nil"/>
              <w:bottom w:val="single" w:sz="4" w:space="0" w:color="auto"/>
              <w:right w:val="single" w:sz="4" w:space="0" w:color="auto"/>
            </w:tcBorders>
            <w:shd w:val="clear" w:color="000000" w:fill="BFBFBF"/>
            <w:noWrap/>
            <w:vAlign w:val="center"/>
          </w:tcPr>
          <w:p w14:paraId="4F2B1EEE" w14:textId="77777777" w:rsidR="005A6DBB" w:rsidRDefault="00F93099">
            <w:pPr>
              <w:spacing w:line="240" w:lineRule="auto"/>
              <w:jc w:val="left"/>
              <w:rPr>
                <w:rFonts w:cs="Calibri"/>
                <w:color w:val="FFFFFF"/>
                <w:sz w:val="16"/>
                <w:szCs w:val="16"/>
              </w:rPr>
            </w:pPr>
            <w:r>
              <w:rPr>
                <w:rFonts w:cs="Calibri"/>
                <w:color w:val="FFFFFF"/>
                <w:sz w:val="16"/>
                <w:szCs w:val="16"/>
              </w:rPr>
              <w:t> </w:t>
            </w:r>
          </w:p>
        </w:tc>
      </w:tr>
      <w:tr w:rsidR="005A6DBB" w14:paraId="4E1E5EB3"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0D6DF360" w14:textId="77777777" w:rsidR="005A6DBB" w:rsidRDefault="00F93099">
            <w:pPr>
              <w:spacing w:line="240" w:lineRule="auto"/>
              <w:jc w:val="left"/>
              <w:rPr>
                <w:rFonts w:cs="Calibri"/>
                <w:b/>
                <w:bCs/>
                <w:color w:val="000000"/>
                <w:sz w:val="16"/>
                <w:szCs w:val="16"/>
              </w:rPr>
            </w:pPr>
            <w:r>
              <w:rPr>
                <w:rFonts w:cs="Calibri"/>
                <w:b/>
                <w:bCs/>
                <w:color w:val="000000"/>
                <w:sz w:val="16"/>
                <w:szCs w:val="16"/>
              </w:rPr>
              <w:t>Efficiency</w:t>
            </w:r>
          </w:p>
        </w:tc>
      </w:tr>
      <w:tr w:rsidR="005A6DBB" w14:paraId="1A9C779A"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7E23D509"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3FB0BC92" w14:textId="77777777" w:rsidR="005A6DBB" w:rsidRDefault="00F93099">
            <w:pPr>
              <w:spacing w:line="240" w:lineRule="auto"/>
              <w:jc w:val="left"/>
              <w:rPr>
                <w:rFonts w:cs="Calibri"/>
                <w:color w:val="000000"/>
                <w:sz w:val="16"/>
                <w:szCs w:val="16"/>
              </w:rPr>
            </w:pPr>
            <w:r>
              <w:rPr>
                <w:rFonts w:cs="Calibri"/>
                <w:color w:val="000000"/>
                <w:sz w:val="16"/>
                <w:szCs w:val="16"/>
              </w:rPr>
              <w:t xml:space="preserve">Net Operating Surplus Margin </w:t>
            </w:r>
          </w:p>
        </w:tc>
        <w:tc>
          <w:tcPr>
            <w:tcW w:w="836" w:type="dxa"/>
            <w:tcBorders>
              <w:top w:val="nil"/>
              <w:left w:val="nil"/>
              <w:bottom w:val="single" w:sz="4" w:space="0" w:color="auto"/>
              <w:right w:val="single" w:sz="4" w:space="0" w:color="auto"/>
            </w:tcBorders>
            <w:shd w:val="clear" w:color="000000" w:fill="FFFFFF"/>
            <w:noWrap/>
            <w:vAlign w:val="center"/>
          </w:tcPr>
          <w:p w14:paraId="7A3F0214" w14:textId="77777777" w:rsidR="005A6DBB" w:rsidRDefault="00F93099">
            <w:pPr>
              <w:spacing w:line="240" w:lineRule="auto"/>
              <w:jc w:val="center"/>
              <w:rPr>
                <w:rFonts w:cs="Calibri"/>
                <w:color w:val="000000"/>
                <w:sz w:val="16"/>
                <w:szCs w:val="16"/>
              </w:rPr>
            </w:pPr>
            <w:r>
              <w:rPr>
                <w:rFonts w:cs="Calibri"/>
                <w:color w:val="000000"/>
                <w:sz w:val="16"/>
                <w:szCs w:val="16"/>
              </w:rPr>
              <w:t>&gt;=0%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5E3FBFAF" w14:textId="77777777" w:rsidR="005A6DBB" w:rsidRDefault="00F93099">
            <w:pPr>
              <w:spacing w:line="240" w:lineRule="auto"/>
              <w:jc w:val="center"/>
              <w:rPr>
                <w:rFonts w:cs="Calibri"/>
                <w:color w:val="FFFFFF"/>
                <w:sz w:val="16"/>
                <w:szCs w:val="16"/>
              </w:rPr>
            </w:pPr>
            <w:r>
              <w:rPr>
                <w:rFonts w:cs="Calibri"/>
                <w:color w:val="FFFFFF"/>
                <w:sz w:val="16"/>
                <w:szCs w:val="16"/>
              </w:rPr>
              <w:t>1.78%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4EA997AE" w14:textId="77777777" w:rsidR="005A6DBB" w:rsidRDefault="00F93099">
            <w:pPr>
              <w:spacing w:line="240" w:lineRule="auto"/>
              <w:jc w:val="center"/>
              <w:rPr>
                <w:rFonts w:cs="Calibri"/>
                <w:color w:val="FFFFFF"/>
                <w:sz w:val="16"/>
                <w:szCs w:val="16"/>
              </w:rPr>
            </w:pPr>
            <w:r>
              <w:rPr>
                <w:rFonts w:cs="Calibri"/>
                <w:color w:val="FFFFFF"/>
                <w:sz w:val="16"/>
                <w:szCs w:val="16"/>
              </w:rPr>
              <w:t>-0.55%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5B2CD8C2" w14:textId="77777777" w:rsidR="005A6DBB" w:rsidRDefault="00F93099">
            <w:pPr>
              <w:spacing w:line="240" w:lineRule="auto"/>
              <w:jc w:val="center"/>
              <w:rPr>
                <w:rFonts w:cs="Calibri"/>
                <w:color w:val="FFFFFF"/>
                <w:sz w:val="16"/>
                <w:szCs w:val="16"/>
              </w:rPr>
            </w:pPr>
            <w:r>
              <w:rPr>
                <w:rFonts w:cs="Calibri"/>
                <w:color w:val="FFFFFF"/>
                <w:sz w:val="16"/>
                <w:szCs w:val="16"/>
              </w:rPr>
              <w:t>-11.41%</w:t>
            </w:r>
          </w:p>
        </w:tc>
        <w:tc>
          <w:tcPr>
            <w:tcW w:w="1185" w:type="dxa"/>
            <w:tcBorders>
              <w:top w:val="nil"/>
              <w:left w:val="nil"/>
              <w:bottom w:val="single" w:sz="4" w:space="0" w:color="auto"/>
              <w:right w:val="single" w:sz="4" w:space="0" w:color="auto"/>
            </w:tcBorders>
            <w:shd w:val="clear" w:color="000000" w:fill="BFBFBF"/>
            <w:noWrap/>
            <w:vAlign w:val="center"/>
          </w:tcPr>
          <w:p w14:paraId="62846F8E"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0DB875B4"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78882911" w14:textId="77777777" w:rsidR="005A6DBB" w:rsidRDefault="005A6DBB">
            <w:pPr>
              <w:spacing w:line="240" w:lineRule="auto"/>
              <w:jc w:val="center"/>
              <w:rPr>
                <w:rFonts w:cs="Calibri"/>
                <w:color w:val="FFFFFF"/>
                <w:sz w:val="16"/>
                <w:szCs w:val="16"/>
              </w:rPr>
            </w:pPr>
          </w:p>
        </w:tc>
      </w:tr>
      <w:tr w:rsidR="005A6DBB" w14:paraId="0116C46A"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7FA4FD53"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779743B3" w14:textId="77777777" w:rsidR="005A6DBB" w:rsidRDefault="00F93099">
            <w:pPr>
              <w:spacing w:line="240" w:lineRule="auto"/>
              <w:jc w:val="left"/>
              <w:rPr>
                <w:rFonts w:cs="Calibri"/>
                <w:color w:val="000000"/>
                <w:sz w:val="16"/>
                <w:szCs w:val="16"/>
              </w:rPr>
            </w:pPr>
            <w:r>
              <w:rPr>
                <w:rFonts w:cs="Calibri"/>
                <w:color w:val="000000"/>
                <w:sz w:val="16"/>
                <w:szCs w:val="16"/>
              </w:rPr>
              <w:t xml:space="preserve">Net Surplus /Deficit Electricity </w:t>
            </w:r>
          </w:p>
        </w:tc>
        <w:tc>
          <w:tcPr>
            <w:tcW w:w="836" w:type="dxa"/>
            <w:tcBorders>
              <w:top w:val="nil"/>
              <w:left w:val="nil"/>
              <w:bottom w:val="single" w:sz="4" w:space="0" w:color="auto"/>
              <w:right w:val="single" w:sz="4" w:space="0" w:color="auto"/>
            </w:tcBorders>
            <w:shd w:val="clear" w:color="000000" w:fill="FFFFFF"/>
            <w:noWrap/>
            <w:vAlign w:val="center"/>
          </w:tcPr>
          <w:p w14:paraId="010D0F42" w14:textId="77777777" w:rsidR="005A6DBB" w:rsidRDefault="00F93099">
            <w:pPr>
              <w:spacing w:line="240" w:lineRule="auto"/>
              <w:jc w:val="center"/>
              <w:rPr>
                <w:rFonts w:cs="Calibri"/>
                <w:color w:val="000000"/>
                <w:sz w:val="16"/>
                <w:szCs w:val="16"/>
              </w:rPr>
            </w:pPr>
            <w:r>
              <w:rPr>
                <w:rFonts w:cs="Calibri"/>
                <w:color w:val="000000"/>
                <w:sz w:val="16"/>
                <w:szCs w:val="16"/>
              </w:rPr>
              <w:t>0% - 15%</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6D0F19BC" w14:textId="77777777" w:rsidR="005A6DBB" w:rsidRDefault="00F93099">
            <w:pPr>
              <w:spacing w:line="240" w:lineRule="auto"/>
              <w:jc w:val="center"/>
              <w:rPr>
                <w:rFonts w:cs="Calibri"/>
                <w:color w:val="FFFFFF"/>
                <w:sz w:val="16"/>
                <w:szCs w:val="16"/>
              </w:rPr>
            </w:pPr>
            <w:r>
              <w:rPr>
                <w:rFonts w:cs="Calibri"/>
                <w:color w:val="FFFFFF"/>
                <w:sz w:val="16"/>
                <w:szCs w:val="16"/>
              </w:rPr>
              <w:t>30.12%</w:t>
            </w:r>
          </w:p>
        </w:tc>
        <w:tc>
          <w:tcPr>
            <w:tcW w:w="1244" w:type="dxa"/>
            <w:tcBorders>
              <w:top w:val="nil"/>
              <w:left w:val="nil"/>
              <w:bottom w:val="single" w:sz="4" w:space="0" w:color="auto"/>
              <w:right w:val="single" w:sz="4" w:space="0" w:color="auto"/>
            </w:tcBorders>
            <w:shd w:val="clear" w:color="000000" w:fill="00B050"/>
            <w:noWrap/>
            <w:vAlign w:val="center"/>
          </w:tcPr>
          <w:p w14:paraId="775B3B6E" w14:textId="77777777" w:rsidR="005A6DBB" w:rsidRDefault="00F93099">
            <w:pPr>
              <w:spacing w:line="240" w:lineRule="auto"/>
              <w:jc w:val="center"/>
              <w:rPr>
                <w:rFonts w:cs="Calibri"/>
                <w:color w:val="FFFFFF"/>
                <w:sz w:val="16"/>
                <w:szCs w:val="16"/>
              </w:rPr>
            </w:pPr>
            <w:r>
              <w:rPr>
                <w:rFonts w:cs="Calibri"/>
                <w:color w:val="FFFFFF"/>
                <w:sz w:val="16"/>
                <w:szCs w:val="16"/>
              </w:rPr>
              <w:t>30.14%</w:t>
            </w:r>
          </w:p>
        </w:tc>
        <w:tc>
          <w:tcPr>
            <w:tcW w:w="1248" w:type="dxa"/>
            <w:tcBorders>
              <w:top w:val="nil"/>
              <w:left w:val="nil"/>
              <w:bottom w:val="single" w:sz="4" w:space="0" w:color="auto"/>
              <w:right w:val="single" w:sz="4" w:space="0" w:color="auto"/>
            </w:tcBorders>
            <w:shd w:val="clear" w:color="000000" w:fill="00B050"/>
            <w:noWrap/>
            <w:vAlign w:val="center"/>
          </w:tcPr>
          <w:p w14:paraId="0203D331" w14:textId="77777777" w:rsidR="005A6DBB" w:rsidRDefault="00F93099">
            <w:pPr>
              <w:spacing w:line="240" w:lineRule="auto"/>
              <w:jc w:val="center"/>
              <w:rPr>
                <w:rFonts w:cs="Calibri"/>
                <w:color w:val="FFFFFF"/>
                <w:sz w:val="16"/>
                <w:szCs w:val="16"/>
              </w:rPr>
            </w:pPr>
            <w:r>
              <w:rPr>
                <w:rFonts w:cs="Calibri"/>
                <w:color w:val="FFFFFF"/>
                <w:sz w:val="16"/>
                <w:szCs w:val="16"/>
              </w:rPr>
              <w:t>24.12%</w:t>
            </w:r>
          </w:p>
        </w:tc>
        <w:tc>
          <w:tcPr>
            <w:tcW w:w="1185" w:type="dxa"/>
            <w:tcBorders>
              <w:top w:val="nil"/>
              <w:left w:val="nil"/>
              <w:bottom w:val="single" w:sz="4" w:space="0" w:color="auto"/>
              <w:right w:val="single" w:sz="4" w:space="0" w:color="auto"/>
            </w:tcBorders>
            <w:shd w:val="clear" w:color="000000" w:fill="BFBFBF"/>
            <w:noWrap/>
            <w:vAlign w:val="center"/>
          </w:tcPr>
          <w:p w14:paraId="67C9A563"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3DDAB5B6"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0A79E36F" w14:textId="77777777" w:rsidR="005A6DBB" w:rsidRDefault="005A6DBB">
            <w:pPr>
              <w:spacing w:line="240" w:lineRule="auto"/>
              <w:jc w:val="center"/>
              <w:rPr>
                <w:rFonts w:cs="Calibri"/>
                <w:color w:val="FFFFFF"/>
                <w:sz w:val="16"/>
                <w:szCs w:val="16"/>
              </w:rPr>
            </w:pPr>
          </w:p>
        </w:tc>
      </w:tr>
      <w:tr w:rsidR="005A6DBB" w14:paraId="4E034A8A"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179B4A1"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15135F15" w14:textId="77777777" w:rsidR="005A6DBB" w:rsidRDefault="00F93099">
            <w:pPr>
              <w:spacing w:line="240" w:lineRule="auto"/>
              <w:jc w:val="left"/>
              <w:rPr>
                <w:rFonts w:cs="Calibri"/>
                <w:color w:val="000000"/>
                <w:sz w:val="16"/>
                <w:szCs w:val="16"/>
              </w:rPr>
            </w:pPr>
            <w:r>
              <w:rPr>
                <w:rFonts w:cs="Calibri"/>
                <w:color w:val="000000"/>
                <w:sz w:val="16"/>
                <w:szCs w:val="16"/>
              </w:rPr>
              <w:t xml:space="preserve">Net Surplus /Deficit Water </w:t>
            </w:r>
          </w:p>
        </w:tc>
        <w:tc>
          <w:tcPr>
            <w:tcW w:w="836" w:type="dxa"/>
            <w:tcBorders>
              <w:top w:val="nil"/>
              <w:left w:val="nil"/>
              <w:bottom w:val="single" w:sz="4" w:space="0" w:color="auto"/>
              <w:right w:val="single" w:sz="4" w:space="0" w:color="auto"/>
            </w:tcBorders>
            <w:shd w:val="clear" w:color="000000" w:fill="FFFFFF"/>
            <w:noWrap/>
            <w:vAlign w:val="center"/>
          </w:tcPr>
          <w:p w14:paraId="2333585C" w14:textId="77777777" w:rsidR="005A6DBB" w:rsidRDefault="00F93099">
            <w:pPr>
              <w:spacing w:line="240" w:lineRule="auto"/>
              <w:jc w:val="center"/>
              <w:rPr>
                <w:rFonts w:cs="Calibri"/>
                <w:color w:val="000000"/>
                <w:sz w:val="16"/>
                <w:szCs w:val="16"/>
              </w:rPr>
            </w:pPr>
            <w:r>
              <w:rPr>
                <w:rFonts w:cs="Calibri"/>
                <w:color w:val="000000"/>
                <w:sz w:val="16"/>
                <w:szCs w:val="16"/>
              </w:rPr>
              <w:t>&gt;=0%</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03D18FF3" w14:textId="77777777" w:rsidR="005A6DBB" w:rsidRDefault="00F93099">
            <w:pPr>
              <w:spacing w:line="240" w:lineRule="auto"/>
              <w:jc w:val="center"/>
              <w:rPr>
                <w:rFonts w:cs="Calibri"/>
                <w:color w:val="FFFFFF"/>
                <w:sz w:val="16"/>
                <w:szCs w:val="16"/>
              </w:rPr>
            </w:pPr>
            <w:r>
              <w:rPr>
                <w:rFonts w:cs="Calibri"/>
                <w:color w:val="FFFFFF"/>
                <w:sz w:val="16"/>
                <w:szCs w:val="16"/>
              </w:rPr>
              <w:t>8.50%</w:t>
            </w:r>
          </w:p>
        </w:tc>
        <w:tc>
          <w:tcPr>
            <w:tcW w:w="1244" w:type="dxa"/>
            <w:tcBorders>
              <w:top w:val="nil"/>
              <w:left w:val="nil"/>
              <w:bottom w:val="single" w:sz="4" w:space="0" w:color="auto"/>
              <w:right w:val="single" w:sz="4" w:space="0" w:color="auto"/>
            </w:tcBorders>
            <w:shd w:val="clear" w:color="000000" w:fill="00B050"/>
            <w:noWrap/>
            <w:vAlign w:val="center"/>
          </w:tcPr>
          <w:p w14:paraId="198C1E8B" w14:textId="77777777" w:rsidR="005A6DBB" w:rsidRDefault="00F93099">
            <w:pPr>
              <w:spacing w:line="240" w:lineRule="auto"/>
              <w:jc w:val="center"/>
              <w:rPr>
                <w:rFonts w:cs="Calibri"/>
                <w:color w:val="FFFFFF"/>
                <w:sz w:val="16"/>
                <w:szCs w:val="16"/>
              </w:rPr>
            </w:pPr>
            <w:r>
              <w:rPr>
                <w:rFonts w:cs="Calibri"/>
                <w:color w:val="FFFFFF"/>
                <w:sz w:val="16"/>
                <w:szCs w:val="16"/>
              </w:rPr>
              <w:t>24.97%</w:t>
            </w:r>
          </w:p>
        </w:tc>
        <w:tc>
          <w:tcPr>
            <w:tcW w:w="1248" w:type="dxa"/>
            <w:tcBorders>
              <w:top w:val="nil"/>
              <w:left w:val="nil"/>
              <w:bottom w:val="single" w:sz="4" w:space="0" w:color="auto"/>
              <w:right w:val="single" w:sz="4" w:space="0" w:color="auto"/>
            </w:tcBorders>
            <w:shd w:val="clear" w:color="000000" w:fill="00B050"/>
            <w:noWrap/>
            <w:vAlign w:val="center"/>
          </w:tcPr>
          <w:p w14:paraId="2F7C75FE" w14:textId="77777777" w:rsidR="005A6DBB" w:rsidRDefault="00F93099">
            <w:pPr>
              <w:spacing w:line="240" w:lineRule="auto"/>
              <w:jc w:val="center"/>
              <w:rPr>
                <w:rFonts w:cs="Calibri"/>
                <w:color w:val="FFFFFF"/>
                <w:sz w:val="16"/>
                <w:szCs w:val="16"/>
              </w:rPr>
            </w:pPr>
            <w:r>
              <w:rPr>
                <w:rFonts w:cs="Calibri"/>
                <w:color w:val="FFFFFF"/>
                <w:sz w:val="16"/>
                <w:szCs w:val="16"/>
              </w:rPr>
              <w:t>21.17%</w:t>
            </w:r>
          </w:p>
        </w:tc>
        <w:tc>
          <w:tcPr>
            <w:tcW w:w="1185" w:type="dxa"/>
            <w:tcBorders>
              <w:top w:val="nil"/>
              <w:left w:val="nil"/>
              <w:bottom w:val="single" w:sz="4" w:space="0" w:color="auto"/>
              <w:right w:val="single" w:sz="4" w:space="0" w:color="auto"/>
            </w:tcBorders>
            <w:shd w:val="clear" w:color="000000" w:fill="BFBFBF"/>
            <w:noWrap/>
            <w:vAlign w:val="center"/>
          </w:tcPr>
          <w:p w14:paraId="54C74D4A"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BFBFBF"/>
            <w:noWrap/>
            <w:vAlign w:val="center"/>
          </w:tcPr>
          <w:p w14:paraId="7CECFCAD"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BFBFBF"/>
            <w:noWrap/>
            <w:vAlign w:val="center"/>
          </w:tcPr>
          <w:p w14:paraId="2AA66F29" w14:textId="77777777" w:rsidR="005A6DBB" w:rsidRDefault="005A6DBB">
            <w:pPr>
              <w:spacing w:line="240" w:lineRule="auto"/>
              <w:jc w:val="center"/>
              <w:rPr>
                <w:rFonts w:cs="Calibri"/>
                <w:color w:val="FFFFFF"/>
                <w:sz w:val="16"/>
                <w:szCs w:val="16"/>
              </w:rPr>
            </w:pPr>
          </w:p>
        </w:tc>
      </w:tr>
      <w:tr w:rsidR="005A6DBB" w14:paraId="56A3CFFA"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6F4F7762" w14:textId="77777777" w:rsidR="005A6DBB" w:rsidRDefault="00F93099">
            <w:pPr>
              <w:spacing w:line="240" w:lineRule="auto"/>
              <w:jc w:val="left"/>
              <w:rPr>
                <w:rFonts w:cs="Calibri"/>
                <w:b/>
                <w:bCs/>
                <w:color w:val="000000"/>
                <w:sz w:val="16"/>
                <w:szCs w:val="16"/>
              </w:rPr>
            </w:pPr>
            <w:r>
              <w:rPr>
                <w:rFonts w:cs="Calibri"/>
                <w:b/>
                <w:bCs/>
                <w:color w:val="000000"/>
                <w:sz w:val="16"/>
                <w:szCs w:val="16"/>
              </w:rPr>
              <w:t>Distribution Losses</w:t>
            </w:r>
          </w:p>
        </w:tc>
      </w:tr>
      <w:tr w:rsidR="005A6DBB" w14:paraId="7C233758"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56EA0E1"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601EC9A1" w14:textId="77777777" w:rsidR="005A6DBB" w:rsidRDefault="00F93099">
            <w:pPr>
              <w:spacing w:line="240" w:lineRule="auto"/>
              <w:jc w:val="left"/>
              <w:rPr>
                <w:rFonts w:cs="Calibri"/>
                <w:color w:val="000000"/>
                <w:sz w:val="16"/>
                <w:szCs w:val="16"/>
              </w:rPr>
            </w:pPr>
            <w:r>
              <w:rPr>
                <w:rFonts w:cs="Calibri"/>
                <w:color w:val="000000"/>
                <w:sz w:val="16"/>
                <w:szCs w:val="16"/>
              </w:rPr>
              <w:t xml:space="preserve">Electricity Distribution Losses (Percentage) </w:t>
            </w:r>
          </w:p>
        </w:tc>
        <w:tc>
          <w:tcPr>
            <w:tcW w:w="836" w:type="dxa"/>
            <w:tcBorders>
              <w:top w:val="nil"/>
              <w:left w:val="nil"/>
              <w:bottom w:val="single" w:sz="4" w:space="0" w:color="auto"/>
              <w:right w:val="single" w:sz="4" w:space="0" w:color="auto"/>
            </w:tcBorders>
            <w:shd w:val="clear" w:color="000000" w:fill="FFFFFF"/>
            <w:noWrap/>
            <w:vAlign w:val="center"/>
          </w:tcPr>
          <w:p w14:paraId="182A02ED" w14:textId="77777777" w:rsidR="005A6DBB" w:rsidRDefault="00F93099">
            <w:pPr>
              <w:spacing w:line="240" w:lineRule="auto"/>
              <w:jc w:val="center"/>
              <w:rPr>
                <w:rFonts w:cs="Calibri"/>
                <w:color w:val="000000"/>
                <w:sz w:val="16"/>
                <w:szCs w:val="16"/>
              </w:rPr>
            </w:pPr>
            <w:r>
              <w:rPr>
                <w:rFonts w:cs="Calibri"/>
                <w:color w:val="000000"/>
                <w:sz w:val="16"/>
                <w:szCs w:val="16"/>
              </w:rPr>
              <w:t>7% - 10%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1EBF04FB" w14:textId="77777777" w:rsidR="005A6DBB" w:rsidRDefault="00F93099">
            <w:pPr>
              <w:spacing w:line="240" w:lineRule="auto"/>
              <w:jc w:val="center"/>
              <w:rPr>
                <w:rFonts w:cs="Calibri"/>
                <w:color w:val="FFFFFF"/>
                <w:sz w:val="16"/>
                <w:szCs w:val="16"/>
              </w:rPr>
            </w:pPr>
            <w:r>
              <w:rPr>
                <w:rFonts w:cs="Calibri"/>
                <w:color w:val="FFFFFF"/>
                <w:sz w:val="16"/>
                <w:szCs w:val="16"/>
              </w:rPr>
              <w:t>8.04%</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212EE495" w14:textId="77777777" w:rsidR="005A6DBB" w:rsidRDefault="00F93099">
            <w:pPr>
              <w:spacing w:line="240" w:lineRule="auto"/>
              <w:jc w:val="center"/>
              <w:rPr>
                <w:rFonts w:cs="Calibri"/>
                <w:color w:val="FFFFFF"/>
                <w:sz w:val="16"/>
                <w:szCs w:val="16"/>
              </w:rPr>
            </w:pPr>
            <w:r>
              <w:rPr>
                <w:rFonts w:cs="Calibri"/>
                <w:color w:val="FFFFFF"/>
                <w:sz w:val="16"/>
                <w:szCs w:val="16"/>
              </w:rPr>
              <w:t>10.05%</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1F03E1FA" w14:textId="77777777" w:rsidR="005A6DBB" w:rsidRDefault="00F93099">
            <w:pPr>
              <w:spacing w:line="240" w:lineRule="auto"/>
              <w:jc w:val="center"/>
              <w:rPr>
                <w:rFonts w:cs="Calibri"/>
                <w:color w:val="FFFFFF"/>
                <w:sz w:val="16"/>
                <w:szCs w:val="16"/>
              </w:rPr>
            </w:pPr>
            <w:r>
              <w:rPr>
                <w:rFonts w:cs="Calibri"/>
                <w:color w:val="FFFFFF"/>
                <w:sz w:val="16"/>
                <w:szCs w:val="16"/>
              </w:rPr>
              <w:t>10.96%</w:t>
            </w:r>
          </w:p>
        </w:tc>
        <w:tc>
          <w:tcPr>
            <w:tcW w:w="1185" w:type="dxa"/>
            <w:tcBorders>
              <w:top w:val="nil"/>
              <w:left w:val="nil"/>
              <w:bottom w:val="single" w:sz="4" w:space="0" w:color="auto"/>
              <w:right w:val="single" w:sz="4" w:space="0" w:color="auto"/>
            </w:tcBorders>
            <w:shd w:val="clear" w:color="000000" w:fill="A6A6A6"/>
            <w:noWrap/>
            <w:vAlign w:val="center"/>
          </w:tcPr>
          <w:p w14:paraId="7300EFFC"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A6A6A6"/>
            <w:noWrap/>
            <w:vAlign w:val="center"/>
          </w:tcPr>
          <w:p w14:paraId="06039149"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A6A6A6"/>
            <w:noWrap/>
            <w:vAlign w:val="center"/>
          </w:tcPr>
          <w:p w14:paraId="51E93F03" w14:textId="77777777" w:rsidR="005A6DBB" w:rsidRDefault="005A6DBB">
            <w:pPr>
              <w:spacing w:line="240" w:lineRule="auto"/>
              <w:jc w:val="center"/>
              <w:rPr>
                <w:rFonts w:cs="Calibri"/>
                <w:color w:val="FFFFFF"/>
                <w:sz w:val="16"/>
                <w:szCs w:val="16"/>
              </w:rPr>
            </w:pPr>
          </w:p>
        </w:tc>
      </w:tr>
      <w:tr w:rsidR="005A6DBB" w14:paraId="5128DBC8"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E0F2254"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55A4D7FE" w14:textId="77777777" w:rsidR="005A6DBB" w:rsidRDefault="00F93099">
            <w:pPr>
              <w:spacing w:line="240" w:lineRule="auto"/>
              <w:jc w:val="left"/>
              <w:rPr>
                <w:rFonts w:cs="Calibri"/>
                <w:color w:val="000000"/>
                <w:sz w:val="16"/>
                <w:szCs w:val="16"/>
              </w:rPr>
            </w:pPr>
            <w:r>
              <w:rPr>
                <w:rFonts w:cs="Calibri"/>
                <w:color w:val="000000"/>
                <w:sz w:val="16"/>
                <w:szCs w:val="16"/>
              </w:rPr>
              <w:t xml:space="preserve">Water Distribution Losses (Percentage) </w:t>
            </w:r>
          </w:p>
        </w:tc>
        <w:tc>
          <w:tcPr>
            <w:tcW w:w="836" w:type="dxa"/>
            <w:tcBorders>
              <w:top w:val="nil"/>
              <w:left w:val="nil"/>
              <w:bottom w:val="single" w:sz="4" w:space="0" w:color="auto"/>
              <w:right w:val="single" w:sz="4" w:space="0" w:color="auto"/>
            </w:tcBorders>
            <w:shd w:val="clear" w:color="000000" w:fill="FFFFFF"/>
            <w:noWrap/>
            <w:vAlign w:val="center"/>
          </w:tcPr>
          <w:p w14:paraId="2FFEFF45" w14:textId="77777777" w:rsidR="005A6DBB" w:rsidRDefault="00F93099">
            <w:pPr>
              <w:spacing w:line="240" w:lineRule="auto"/>
              <w:jc w:val="center"/>
              <w:rPr>
                <w:rFonts w:cs="Calibri"/>
                <w:color w:val="000000"/>
                <w:sz w:val="16"/>
                <w:szCs w:val="16"/>
              </w:rPr>
            </w:pPr>
            <w:r>
              <w:rPr>
                <w:rFonts w:cs="Calibri"/>
                <w:color w:val="000000"/>
                <w:sz w:val="16"/>
                <w:szCs w:val="16"/>
              </w:rPr>
              <w:t>15% - 30%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6493C54B" w14:textId="77777777" w:rsidR="005A6DBB" w:rsidRDefault="00F93099">
            <w:pPr>
              <w:spacing w:line="240" w:lineRule="auto"/>
              <w:jc w:val="center"/>
              <w:rPr>
                <w:rFonts w:cs="Calibri"/>
                <w:color w:val="FFFFFF"/>
                <w:sz w:val="16"/>
                <w:szCs w:val="16"/>
              </w:rPr>
            </w:pPr>
            <w:r>
              <w:rPr>
                <w:rFonts w:cs="Calibri"/>
                <w:color w:val="FFFFFF"/>
                <w:sz w:val="16"/>
                <w:szCs w:val="16"/>
              </w:rPr>
              <w:t>41.00%</w:t>
            </w:r>
          </w:p>
        </w:tc>
        <w:tc>
          <w:tcPr>
            <w:tcW w:w="1244" w:type="dxa"/>
            <w:tcBorders>
              <w:top w:val="nil"/>
              <w:left w:val="nil"/>
              <w:bottom w:val="single" w:sz="4" w:space="0" w:color="auto"/>
              <w:right w:val="single" w:sz="4" w:space="0" w:color="auto"/>
            </w:tcBorders>
            <w:shd w:val="clear" w:color="auto" w:fill="FF0000"/>
            <w:noWrap/>
            <w:vAlign w:val="center"/>
          </w:tcPr>
          <w:p w14:paraId="1404B62D" w14:textId="77777777" w:rsidR="005A6DBB" w:rsidRDefault="00F93099">
            <w:pPr>
              <w:spacing w:line="240" w:lineRule="auto"/>
              <w:jc w:val="center"/>
              <w:rPr>
                <w:rFonts w:cs="Calibri"/>
                <w:color w:val="FFFFFF"/>
                <w:sz w:val="16"/>
                <w:szCs w:val="16"/>
              </w:rPr>
            </w:pPr>
            <w:r>
              <w:rPr>
                <w:rFonts w:cs="Calibri"/>
                <w:color w:val="FFFFFF"/>
                <w:sz w:val="16"/>
                <w:szCs w:val="16"/>
              </w:rPr>
              <w:t>45.00%</w:t>
            </w:r>
          </w:p>
        </w:tc>
        <w:tc>
          <w:tcPr>
            <w:tcW w:w="1248" w:type="dxa"/>
            <w:tcBorders>
              <w:top w:val="nil"/>
              <w:left w:val="nil"/>
              <w:bottom w:val="single" w:sz="4" w:space="0" w:color="auto"/>
              <w:right w:val="single" w:sz="4" w:space="0" w:color="auto"/>
            </w:tcBorders>
            <w:shd w:val="clear" w:color="auto" w:fill="FF0000"/>
            <w:noWrap/>
            <w:vAlign w:val="center"/>
          </w:tcPr>
          <w:p w14:paraId="13CD8D5B" w14:textId="77777777" w:rsidR="005A6DBB" w:rsidRDefault="00F93099">
            <w:pPr>
              <w:spacing w:line="240" w:lineRule="auto"/>
              <w:jc w:val="center"/>
              <w:rPr>
                <w:rFonts w:cs="Calibri"/>
                <w:color w:val="FFFFFF"/>
                <w:sz w:val="16"/>
                <w:szCs w:val="16"/>
              </w:rPr>
            </w:pPr>
            <w:r>
              <w:rPr>
                <w:rFonts w:cs="Calibri"/>
                <w:color w:val="FFFFFF"/>
                <w:sz w:val="16"/>
                <w:szCs w:val="16"/>
              </w:rPr>
              <w:t>45.00%</w:t>
            </w:r>
          </w:p>
        </w:tc>
        <w:tc>
          <w:tcPr>
            <w:tcW w:w="1185" w:type="dxa"/>
            <w:tcBorders>
              <w:top w:val="nil"/>
              <w:left w:val="nil"/>
              <w:bottom w:val="single" w:sz="4" w:space="0" w:color="auto"/>
              <w:right w:val="single" w:sz="4" w:space="0" w:color="auto"/>
            </w:tcBorders>
            <w:shd w:val="clear" w:color="000000" w:fill="A6A6A6"/>
            <w:noWrap/>
            <w:vAlign w:val="center"/>
          </w:tcPr>
          <w:p w14:paraId="4FB48797"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A6A6A6"/>
            <w:noWrap/>
            <w:vAlign w:val="center"/>
          </w:tcPr>
          <w:p w14:paraId="5BC29A26"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A6A6A6"/>
            <w:noWrap/>
            <w:vAlign w:val="center"/>
          </w:tcPr>
          <w:p w14:paraId="53A08C07" w14:textId="77777777" w:rsidR="005A6DBB" w:rsidRDefault="005A6DBB">
            <w:pPr>
              <w:spacing w:line="240" w:lineRule="auto"/>
              <w:jc w:val="center"/>
              <w:rPr>
                <w:rFonts w:cs="Calibri"/>
                <w:color w:val="FFFFFF"/>
                <w:sz w:val="16"/>
                <w:szCs w:val="16"/>
              </w:rPr>
            </w:pPr>
          </w:p>
        </w:tc>
      </w:tr>
      <w:tr w:rsidR="005A6DBB" w14:paraId="1EB3BEC2"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27846F6F" w14:textId="77777777" w:rsidR="005A6DBB" w:rsidRDefault="00F93099">
            <w:pPr>
              <w:spacing w:line="240" w:lineRule="auto"/>
              <w:jc w:val="left"/>
              <w:rPr>
                <w:rFonts w:cs="Calibri"/>
                <w:b/>
                <w:bCs/>
                <w:color w:val="000000"/>
                <w:sz w:val="16"/>
                <w:szCs w:val="16"/>
              </w:rPr>
            </w:pPr>
            <w:r>
              <w:rPr>
                <w:rFonts w:cs="Calibri"/>
                <w:b/>
                <w:bCs/>
                <w:color w:val="000000"/>
                <w:sz w:val="16"/>
                <w:szCs w:val="16"/>
              </w:rPr>
              <w:t>Revenue Management</w:t>
            </w:r>
          </w:p>
        </w:tc>
      </w:tr>
      <w:tr w:rsidR="005A6DBB" w14:paraId="362A6207"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70A9CC40"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3D0DA0CC" w14:textId="77777777" w:rsidR="005A6DBB" w:rsidRDefault="00F93099">
            <w:pPr>
              <w:spacing w:line="240" w:lineRule="auto"/>
              <w:jc w:val="left"/>
              <w:rPr>
                <w:rFonts w:cs="Calibri"/>
                <w:color w:val="000000"/>
                <w:sz w:val="16"/>
                <w:szCs w:val="16"/>
              </w:rPr>
            </w:pPr>
            <w:r>
              <w:rPr>
                <w:rFonts w:cs="Calibri"/>
                <w:color w:val="000000"/>
                <w:sz w:val="16"/>
                <w:szCs w:val="16"/>
              </w:rPr>
              <w:t>Growth in Number of Active Consumer Accounts</w:t>
            </w:r>
          </w:p>
        </w:tc>
        <w:tc>
          <w:tcPr>
            <w:tcW w:w="836" w:type="dxa"/>
            <w:tcBorders>
              <w:top w:val="nil"/>
              <w:left w:val="nil"/>
              <w:bottom w:val="single" w:sz="4" w:space="0" w:color="auto"/>
              <w:right w:val="single" w:sz="4" w:space="0" w:color="auto"/>
            </w:tcBorders>
            <w:shd w:val="clear" w:color="000000" w:fill="FFFFFF"/>
            <w:noWrap/>
            <w:vAlign w:val="center"/>
          </w:tcPr>
          <w:p w14:paraId="4EDE7B2A" w14:textId="77777777" w:rsidR="005A6DBB" w:rsidRDefault="00F93099">
            <w:pPr>
              <w:spacing w:line="240" w:lineRule="auto"/>
              <w:jc w:val="center"/>
              <w:rPr>
                <w:rFonts w:cs="Calibri"/>
                <w:color w:val="000000"/>
                <w:sz w:val="16"/>
                <w:szCs w:val="16"/>
              </w:rPr>
            </w:pPr>
            <w:r>
              <w:rPr>
                <w:rFonts w:cs="Calibri"/>
                <w:color w:val="000000"/>
                <w:sz w:val="16"/>
                <w:szCs w:val="16"/>
              </w:rPr>
              <w:t>None</w:t>
            </w:r>
          </w:p>
        </w:tc>
        <w:tc>
          <w:tcPr>
            <w:tcW w:w="1244" w:type="dxa"/>
            <w:tcBorders>
              <w:top w:val="nil"/>
              <w:left w:val="nil"/>
              <w:bottom w:val="single" w:sz="4" w:space="0" w:color="auto"/>
              <w:right w:val="single" w:sz="4" w:space="0" w:color="auto"/>
            </w:tcBorders>
            <w:shd w:val="clear" w:color="000000" w:fill="D9D9D9"/>
            <w:noWrap/>
            <w:vAlign w:val="bottom"/>
          </w:tcPr>
          <w:p w14:paraId="4827D7EB"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c>
          <w:tcPr>
            <w:tcW w:w="1244" w:type="dxa"/>
            <w:tcBorders>
              <w:top w:val="nil"/>
              <w:left w:val="nil"/>
              <w:bottom w:val="single" w:sz="4" w:space="0" w:color="auto"/>
              <w:right w:val="single" w:sz="4" w:space="0" w:color="auto"/>
            </w:tcBorders>
            <w:shd w:val="clear" w:color="000000" w:fill="D9D9D9"/>
            <w:noWrap/>
            <w:vAlign w:val="bottom"/>
          </w:tcPr>
          <w:p w14:paraId="3B932E29"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c>
          <w:tcPr>
            <w:tcW w:w="1248" w:type="dxa"/>
            <w:tcBorders>
              <w:top w:val="nil"/>
              <w:left w:val="nil"/>
              <w:bottom w:val="single" w:sz="4" w:space="0" w:color="auto"/>
              <w:right w:val="single" w:sz="4" w:space="0" w:color="auto"/>
            </w:tcBorders>
            <w:shd w:val="clear" w:color="000000" w:fill="D9D9D9"/>
            <w:noWrap/>
            <w:vAlign w:val="bottom"/>
          </w:tcPr>
          <w:p w14:paraId="185EA1EE"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c>
          <w:tcPr>
            <w:tcW w:w="1185" w:type="dxa"/>
            <w:tcBorders>
              <w:top w:val="nil"/>
              <w:left w:val="nil"/>
              <w:bottom w:val="single" w:sz="4" w:space="0" w:color="auto"/>
              <w:right w:val="single" w:sz="4" w:space="0" w:color="auto"/>
            </w:tcBorders>
            <w:shd w:val="clear" w:color="000000" w:fill="D9D9D9"/>
            <w:noWrap/>
            <w:vAlign w:val="bottom"/>
          </w:tcPr>
          <w:p w14:paraId="0176E26F"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c>
          <w:tcPr>
            <w:tcW w:w="1185" w:type="dxa"/>
            <w:tcBorders>
              <w:top w:val="nil"/>
              <w:left w:val="nil"/>
              <w:bottom w:val="single" w:sz="4" w:space="0" w:color="auto"/>
              <w:right w:val="single" w:sz="4" w:space="0" w:color="auto"/>
            </w:tcBorders>
            <w:shd w:val="clear" w:color="000000" w:fill="D9D9D9"/>
            <w:noWrap/>
            <w:vAlign w:val="bottom"/>
          </w:tcPr>
          <w:p w14:paraId="48D96DED"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c>
          <w:tcPr>
            <w:tcW w:w="1212" w:type="dxa"/>
            <w:tcBorders>
              <w:top w:val="nil"/>
              <w:left w:val="nil"/>
              <w:bottom w:val="single" w:sz="4" w:space="0" w:color="auto"/>
              <w:right w:val="single" w:sz="4" w:space="0" w:color="auto"/>
            </w:tcBorders>
            <w:shd w:val="clear" w:color="000000" w:fill="D9D9D9"/>
            <w:noWrap/>
            <w:vAlign w:val="bottom"/>
          </w:tcPr>
          <w:p w14:paraId="585B0061" w14:textId="77777777" w:rsidR="005A6DBB" w:rsidRDefault="00F93099">
            <w:pPr>
              <w:spacing w:line="240" w:lineRule="auto"/>
              <w:jc w:val="left"/>
              <w:rPr>
                <w:rFonts w:ascii="Bookman Old Style" w:hAnsi="Bookman Old Style"/>
                <w:sz w:val="24"/>
              </w:rPr>
            </w:pPr>
            <w:r>
              <w:rPr>
                <w:rFonts w:ascii="Bookman Old Style" w:hAnsi="Bookman Old Style"/>
                <w:sz w:val="24"/>
              </w:rPr>
              <w:t> </w:t>
            </w:r>
          </w:p>
        </w:tc>
      </w:tr>
      <w:tr w:rsidR="005A6DBB" w14:paraId="77FC18ED"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12FF89C0"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7054511B" w14:textId="77777777" w:rsidR="005A6DBB" w:rsidRDefault="00F93099">
            <w:pPr>
              <w:spacing w:line="240" w:lineRule="auto"/>
              <w:jc w:val="left"/>
              <w:rPr>
                <w:rFonts w:cs="Calibri"/>
                <w:color w:val="000000"/>
                <w:sz w:val="16"/>
                <w:szCs w:val="16"/>
              </w:rPr>
            </w:pPr>
            <w:r>
              <w:rPr>
                <w:rFonts w:cs="Calibri"/>
                <w:color w:val="000000"/>
                <w:sz w:val="16"/>
                <w:szCs w:val="16"/>
              </w:rPr>
              <w:t>Revenue Growth (%)</w:t>
            </w:r>
          </w:p>
        </w:tc>
        <w:tc>
          <w:tcPr>
            <w:tcW w:w="836" w:type="dxa"/>
            <w:tcBorders>
              <w:top w:val="nil"/>
              <w:left w:val="nil"/>
              <w:bottom w:val="single" w:sz="4" w:space="0" w:color="auto"/>
              <w:right w:val="single" w:sz="4" w:space="0" w:color="auto"/>
            </w:tcBorders>
            <w:shd w:val="clear" w:color="000000" w:fill="FFFFFF"/>
            <w:noWrap/>
            <w:vAlign w:val="center"/>
          </w:tcPr>
          <w:p w14:paraId="6DB86826" w14:textId="77777777" w:rsidR="005A6DBB" w:rsidRDefault="00F93099">
            <w:pPr>
              <w:spacing w:line="240" w:lineRule="auto"/>
              <w:jc w:val="center"/>
              <w:rPr>
                <w:rFonts w:cs="Calibri"/>
                <w:color w:val="000000"/>
                <w:sz w:val="16"/>
                <w:szCs w:val="16"/>
              </w:rPr>
            </w:pPr>
            <w:r>
              <w:rPr>
                <w:rFonts w:cs="Calibri"/>
                <w:color w:val="000000"/>
                <w:sz w:val="16"/>
                <w:szCs w:val="16"/>
              </w:rPr>
              <w:t>CPI</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56807702" w14:textId="77777777" w:rsidR="005A6DBB" w:rsidRDefault="00F93099">
            <w:pPr>
              <w:spacing w:line="240" w:lineRule="auto"/>
              <w:jc w:val="center"/>
              <w:rPr>
                <w:rFonts w:cs="Calibri"/>
                <w:color w:val="FFFFFF"/>
                <w:sz w:val="16"/>
                <w:szCs w:val="16"/>
              </w:rPr>
            </w:pPr>
            <w:r>
              <w:rPr>
                <w:rFonts w:cs="Calibri"/>
                <w:color w:val="FFFFFF"/>
                <w:sz w:val="16"/>
                <w:szCs w:val="16"/>
              </w:rPr>
              <w:t>5.15%</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196275A6" w14:textId="77777777" w:rsidR="005A6DBB" w:rsidRDefault="00F93099">
            <w:pPr>
              <w:spacing w:line="240" w:lineRule="auto"/>
              <w:jc w:val="center"/>
              <w:rPr>
                <w:rFonts w:cs="Calibri"/>
                <w:color w:val="FFFFFF"/>
                <w:sz w:val="16"/>
                <w:szCs w:val="16"/>
              </w:rPr>
            </w:pPr>
            <w:r>
              <w:rPr>
                <w:rFonts w:cs="Calibri"/>
                <w:color w:val="FFFFFF"/>
                <w:sz w:val="16"/>
                <w:szCs w:val="16"/>
              </w:rPr>
              <w:t>2.06%</w:t>
            </w:r>
          </w:p>
        </w:tc>
        <w:tc>
          <w:tcPr>
            <w:tcW w:w="1248" w:type="dxa"/>
            <w:tcBorders>
              <w:top w:val="single" w:sz="4" w:space="0" w:color="auto"/>
              <w:left w:val="nil"/>
              <w:bottom w:val="single" w:sz="4" w:space="0" w:color="auto"/>
              <w:right w:val="single" w:sz="4" w:space="0" w:color="auto"/>
            </w:tcBorders>
            <w:shd w:val="clear" w:color="000000" w:fill="00B050"/>
            <w:noWrap/>
            <w:vAlign w:val="center"/>
          </w:tcPr>
          <w:p w14:paraId="714826B0" w14:textId="77777777" w:rsidR="005A6DBB" w:rsidRDefault="00F93099">
            <w:pPr>
              <w:spacing w:line="240" w:lineRule="auto"/>
              <w:jc w:val="center"/>
              <w:rPr>
                <w:rFonts w:cs="Calibri"/>
                <w:color w:val="FFFFFF"/>
                <w:sz w:val="16"/>
                <w:szCs w:val="16"/>
              </w:rPr>
            </w:pPr>
            <w:r>
              <w:rPr>
                <w:rFonts w:cs="Calibri"/>
                <w:color w:val="FFFFFF"/>
                <w:sz w:val="16"/>
                <w:szCs w:val="16"/>
              </w:rPr>
              <w:t>8.69%</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78010F6B" w14:textId="77777777" w:rsidR="005A6DBB" w:rsidRDefault="00F93099">
            <w:pPr>
              <w:spacing w:line="240" w:lineRule="auto"/>
              <w:jc w:val="center"/>
              <w:rPr>
                <w:rFonts w:cs="Calibri"/>
                <w:color w:val="FFFFFF"/>
                <w:sz w:val="16"/>
                <w:szCs w:val="16"/>
              </w:rPr>
            </w:pPr>
            <w:r>
              <w:rPr>
                <w:rFonts w:cs="Calibri"/>
                <w:color w:val="FFFFFF"/>
                <w:sz w:val="16"/>
                <w:szCs w:val="16"/>
              </w:rPr>
              <w:t>2.19</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5BB961D9" w14:textId="77777777" w:rsidR="005A6DBB" w:rsidRDefault="00F93099">
            <w:pPr>
              <w:spacing w:line="240" w:lineRule="auto"/>
              <w:jc w:val="center"/>
              <w:rPr>
                <w:rFonts w:cs="Calibri"/>
                <w:color w:val="FFFFFF"/>
                <w:sz w:val="16"/>
                <w:szCs w:val="16"/>
              </w:rPr>
            </w:pPr>
            <w:r>
              <w:rPr>
                <w:rFonts w:cs="Calibri"/>
                <w:color w:val="FFFFFF"/>
                <w:sz w:val="16"/>
                <w:szCs w:val="16"/>
              </w:rPr>
              <w:t>9.01%</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71EBA3E9" w14:textId="77777777" w:rsidR="005A6DBB" w:rsidRDefault="00F93099">
            <w:pPr>
              <w:spacing w:line="240" w:lineRule="auto"/>
              <w:jc w:val="center"/>
              <w:rPr>
                <w:rFonts w:cs="Calibri"/>
                <w:color w:val="FFFFFF"/>
                <w:sz w:val="16"/>
                <w:szCs w:val="16"/>
              </w:rPr>
            </w:pPr>
            <w:r>
              <w:rPr>
                <w:rFonts w:cs="Calibri"/>
                <w:color w:val="FFFFFF"/>
                <w:sz w:val="16"/>
                <w:szCs w:val="16"/>
              </w:rPr>
              <w:t>6.73%</w:t>
            </w:r>
          </w:p>
        </w:tc>
      </w:tr>
      <w:tr w:rsidR="005A6DBB" w14:paraId="74AE2E37"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1D5542E5"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6AF41C56" w14:textId="77777777" w:rsidR="005A6DBB" w:rsidRDefault="00F93099">
            <w:pPr>
              <w:spacing w:line="240" w:lineRule="auto"/>
              <w:jc w:val="left"/>
              <w:rPr>
                <w:rFonts w:cs="Calibri"/>
                <w:color w:val="000000"/>
                <w:sz w:val="16"/>
                <w:szCs w:val="16"/>
              </w:rPr>
            </w:pPr>
            <w:r>
              <w:rPr>
                <w:rFonts w:cs="Calibri"/>
                <w:color w:val="000000"/>
                <w:sz w:val="16"/>
                <w:szCs w:val="16"/>
              </w:rPr>
              <w:t>Revenue Growth (%) - Excluding capital grants</w:t>
            </w:r>
          </w:p>
        </w:tc>
        <w:tc>
          <w:tcPr>
            <w:tcW w:w="836" w:type="dxa"/>
            <w:tcBorders>
              <w:top w:val="nil"/>
              <w:left w:val="nil"/>
              <w:bottom w:val="single" w:sz="4" w:space="0" w:color="auto"/>
              <w:right w:val="single" w:sz="4" w:space="0" w:color="auto"/>
            </w:tcBorders>
            <w:shd w:val="clear" w:color="000000" w:fill="FFFFFF"/>
            <w:noWrap/>
            <w:vAlign w:val="center"/>
          </w:tcPr>
          <w:p w14:paraId="31F00495" w14:textId="77777777" w:rsidR="005A6DBB" w:rsidRDefault="00F93099">
            <w:pPr>
              <w:spacing w:line="240" w:lineRule="auto"/>
              <w:jc w:val="center"/>
              <w:rPr>
                <w:rFonts w:cs="Calibri"/>
                <w:color w:val="000000"/>
                <w:sz w:val="16"/>
                <w:szCs w:val="16"/>
              </w:rPr>
            </w:pPr>
            <w:r>
              <w:rPr>
                <w:rFonts w:cs="Calibri"/>
                <w:color w:val="000000"/>
                <w:sz w:val="16"/>
                <w:szCs w:val="16"/>
              </w:rPr>
              <w:t>CPI</w:t>
            </w:r>
          </w:p>
        </w:tc>
        <w:tc>
          <w:tcPr>
            <w:tcW w:w="1244" w:type="dxa"/>
            <w:tcBorders>
              <w:top w:val="nil"/>
              <w:left w:val="single" w:sz="4" w:space="0" w:color="auto"/>
              <w:bottom w:val="single" w:sz="4" w:space="0" w:color="auto"/>
              <w:right w:val="single" w:sz="4" w:space="0" w:color="auto"/>
            </w:tcBorders>
            <w:shd w:val="clear" w:color="000000" w:fill="00B050"/>
            <w:noWrap/>
            <w:vAlign w:val="center"/>
          </w:tcPr>
          <w:p w14:paraId="5FEC8CFD" w14:textId="77777777" w:rsidR="005A6DBB" w:rsidRDefault="00F93099">
            <w:pPr>
              <w:spacing w:line="240" w:lineRule="auto"/>
              <w:jc w:val="center"/>
              <w:rPr>
                <w:rFonts w:cs="Calibri"/>
                <w:color w:val="FFFFFF"/>
                <w:sz w:val="16"/>
                <w:szCs w:val="16"/>
              </w:rPr>
            </w:pPr>
            <w:r>
              <w:rPr>
                <w:rFonts w:cs="Calibri"/>
                <w:color w:val="FFFFFF"/>
                <w:sz w:val="16"/>
                <w:szCs w:val="16"/>
              </w:rPr>
              <w:t>4.15.%</w:t>
            </w:r>
          </w:p>
        </w:tc>
        <w:tc>
          <w:tcPr>
            <w:tcW w:w="1244" w:type="dxa"/>
            <w:tcBorders>
              <w:top w:val="nil"/>
              <w:left w:val="nil"/>
              <w:bottom w:val="single" w:sz="4" w:space="0" w:color="auto"/>
              <w:right w:val="single" w:sz="4" w:space="0" w:color="auto"/>
            </w:tcBorders>
            <w:shd w:val="clear" w:color="auto" w:fill="FF0000"/>
            <w:noWrap/>
            <w:vAlign w:val="center"/>
          </w:tcPr>
          <w:p w14:paraId="10E99CFB" w14:textId="77777777" w:rsidR="005A6DBB" w:rsidRDefault="00F93099">
            <w:pPr>
              <w:spacing w:line="240" w:lineRule="auto"/>
              <w:jc w:val="center"/>
              <w:rPr>
                <w:rFonts w:cs="Calibri"/>
                <w:color w:val="FFFFFF"/>
                <w:sz w:val="16"/>
                <w:szCs w:val="16"/>
              </w:rPr>
            </w:pPr>
            <w:r>
              <w:rPr>
                <w:rFonts w:cs="Calibri"/>
                <w:color w:val="FFFFFF"/>
                <w:sz w:val="16"/>
                <w:szCs w:val="16"/>
              </w:rPr>
              <w:t>-2.07%</w:t>
            </w:r>
          </w:p>
        </w:tc>
        <w:tc>
          <w:tcPr>
            <w:tcW w:w="1248" w:type="dxa"/>
            <w:tcBorders>
              <w:top w:val="nil"/>
              <w:left w:val="nil"/>
              <w:bottom w:val="single" w:sz="4" w:space="0" w:color="auto"/>
              <w:right w:val="single" w:sz="4" w:space="0" w:color="auto"/>
            </w:tcBorders>
            <w:shd w:val="clear" w:color="000000" w:fill="00B050"/>
            <w:noWrap/>
            <w:vAlign w:val="center"/>
          </w:tcPr>
          <w:p w14:paraId="6D37FF34" w14:textId="77777777" w:rsidR="005A6DBB" w:rsidRDefault="00F93099">
            <w:pPr>
              <w:spacing w:line="240" w:lineRule="auto"/>
              <w:jc w:val="center"/>
              <w:rPr>
                <w:rFonts w:cs="Calibri"/>
                <w:color w:val="FFFFFF"/>
                <w:sz w:val="16"/>
                <w:szCs w:val="16"/>
              </w:rPr>
            </w:pPr>
            <w:r>
              <w:rPr>
                <w:rFonts w:cs="Calibri"/>
                <w:color w:val="FFFFFF"/>
                <w:sz w:val="16"/>
                <w:szCs w:val="16"/>
              </w:rPr>
              <w:t>8.20%</w:t>
            </w:r>
          </w:p>
        </w:tc>
        <w:tc>
          <w:tcPr>
            <w:tcW w:w="1185" w:type="dxa"/>
            <w:tcBorders>
              <w:top w:val="nil"/>
              <w:left w:val="nil"/>
              <w:bottom w:val="single" w:sz="4" w:space="0" w:color="auto"/>
              <w:right w:val="single" w:sz="4" w:space="0" w:color="auto"/>
            </w:tcBorders>
            <w:shd w:val="clear" w:color="000000" w:fill="00B050"/>
            <w:noWrap/>
            <w:vAlign w:val="center"/>
          </w:tcPr>
          <w:p w14:paraId="18466CAC" w14:textId="77777777" w:rsidR="005A6DBB" w:rsidRDefault="00F93099">
            <w:pPr>
              <w:spacing w:line="240" w:lineRule="auto"/>
              <w:jc w:val="center"/>
              <w:rPr>
                <w:rFonts w:cs="Calibri"/>
                <w:color w:val="FFFFFF"/>
                <w:sz w:val="16"/>
                <w:szCs w:val="16"/>
              </w:rPr>
            </w:pPr>
            <w:r>
              <w:rPr>
                <w:rFonts w:cs="Calibri"/>
                <w:color w:val="FFFFFF"/>
                <w:sz w:val="16"/>
                <w:szCs w:val="16"/>
              </w:rPr>
              <w:t>14.67%</w:t>
            </w:r>
          </w:p>
        </w:tc>
        <w:tc>
          <w:tcPr>
            <w:tcW w:w="1185" w:type="dxa"/>
            <w:tcBorders>
              <w:top w:val="nil"/>
              <w:left w:val="nil"/>
              <w:bottom w:val="single" w:sz="4" w:space="0" w:color="auto"/>
              <w:right w:val="single" w:sz="4" w:space="0" w:color="auto"/>
            </w:tcBorders>
            <w:shd w:val="clear" w:color="000000" w:fill="00B050"/>
            <w:noWrap/>
            <w:vAlign w:val="center"/>
          </w:tcPr>
          <w:p w14:paraId="60C3C2D9" w14:textId="77777777" w:rsidR="005A6DBB" w:rsidRDefault="00F93099">
            <w:pPr>
              <w:spacing w:line="240" w:lineRule="auto"/>
              <w:jc w:val="center"/>
              <w:rPr>
                <w:rFonts w:cs="Calibri"/>
                <w:color w:val="FFFFFF"/>
                <w:sz w:val="16"/>
                <w:szCs w:val="16"/>
              </w:rPr>
            </w:pPr>
            <w:r>
              <w:rPr>
                <w:rFonts w:cs="Calibri"/>
                <w:color w:val="FFFFFF"/>
                <w:sz w:val="16"/>
                <w:szCs w:val="16"/>
              </w:rPr>
              <w:t>9.01%</w:t>
            </w:r>
          </w:p>
        </w:tc>
        <w:tc>
          <w:tcPr>
            <w:tcW w:w="1212" w:type="dxa"/>
            <w:tcBorders>
              <w:top w:val="nil"/>
              <w:left w:val="nil"/>
              <w:bottom w:val="single" w:sz="4" w:space="0" w:color="auto"/>
              <w:right w:val="single" w:sz="4" w:space="0" w:color="auto"/>
            </w:tcBorders>
            <w:shd w:val="clear" w:color="000000" w:fill="00B050"/>
            <w:noWrap/>
            <w:vAlign w:val="center"/>
          </w:tcPr>
          <w:p w14:paraId="5116D9CB" w14:textId="77777777" w:rsidR="005A6DBB" w:rsidRDefault="00F93099">
            <w:pPr>
              <w:spacing w:line="240" w:lineRule="auto"/>
              <w:jc w:val="center"/>
              <w:rPr>
                <w:rFonts w:cs="Calibri"/>
                <w:color w:val="FFFFFF"/>
                <w:sz w:val="16"/>
                <w:szCs w:val="16"/>
              </w:rPr>
            </w:pPr>
            <w:r>
              <w:rPr>
                <w:rFonts w:cs="Calibri"/>
                <w:color w:val="FFFFFF"/>
                <w:sz w:val="16"/>
                <w:szCs w:val="16"/>
              </w:rPr>
              <w:t>6.73%</w:t>
            </w:r>
          </w:p>
        </w:tc>
      </w:tr>
      <w:tr w:rsidR="005A6DBB" w14:paraId="1C228A01"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592FDC48" w14:textId="77777777" w:rsidR="005A6DBB" w:rsidRDefault="00F93099">
            <w:pPr>
              <w:spacing w:line="240" w:lineRule="auto"/>
              <w:jc w:val="left"/>
              <w:rPr>
                <w:rFonts w:cs="Calibri"/>
                <w:b/>
                <w:bCs/>
                <w:color w:val="000000"/>
                <w:sz w:val="16"/>
                <w:szCs w:val="16"/>
              </w:rPr>
            </w:pPr>
            <w:r>
              <w:rPr>
                <w:rFonts w:cs="Calibri"/>
                <w:b/>
                <w:bCs/>
                <w:color w:val="000000"/>
                <w:sz w:val="16"/>
                <w:szCs w:val="16"/>
              </w:rPr>
              <w:t>Expenditure Management</w:t>
            </w:r>
          </w:p>
        </w:tc>
      </w:tr>
      <w:tr w:rsidR="005A6DBB" w14:paraId="08EB43DD"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741505A7"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6586C7D5" w14:textId="77777777" w:rsidR="005A6DBB" w:rsidRDefault="00F93099">
            <w:pPr>
              <w:spacing w:line="240" w:lineRule="auto"/>
              <w:jc w:val="left"/>
              <w:rPr>
                <w:rFonts w:cs="Calibri"/>
                <w:color w:val="000000"/>
                <w:sz w:val="16"/>
                <w:szCs w:val="16"/>
              </w:rPr>
            </w:pPr>
            <w:r>
              <w:rPr>
                <w:rFonts w:cs="Calibri"/>
                <w:color w:val="000000"/>
                <w:sz w:val="16"/>
                <w:szCs w:val="16"/>
              </w:rPr>
              <w:t>Creditors Payment Period (Trade Creditors)</w:t>
            </w:r>
          </w:p>
        </w:tc>
        <w:tc>
          <w:tcPr>
            <w:tcW w:w="836" w:type="dxa"/>
            <w:tcBorders>
              <w:top w:val="nil"/>
              <w:left w:val="nil"/>
              <w:bottom w:val="single" w:sz="4" w:space="0" w:color="auto"/>
              <w:right w:val="single" w:sz="4" w:space="0" w:color="auto"/>
            </w:tcBorders>
            <w:shd w:val="clear" w:color="000000" w:fill="FFFFFF"/>
            <w:noWrap/>
            <w:vAlign w:val="center"/>
          </w:tcPr>
          <w:p w14:paraId="7EAD336E" w14:textId="77777777" w:rsidR="005A6DBB" w:rsidRDefault="00F93099">
            <w:pPr>
              <w:spacing w:line="240" w:lineRule="auto"/>
              <w:jc w:val="center"/>
              <w:rPr>
                <w:rFonts w:cs="Calibri"/>
                <w:color w:val="000000"/>
                <w:sz w:val="16"/>
                <w:szCs w:val="16"/>
              </w:rPr>
            </w:pPr>
            <w:r>
              <w:rPr>
                <w:rFonts w:cs="Calibri"/>
                <w:color w:val="000000"/>
                <w:sz w:val="16"/>
                <w:szCs w:val="16"/>
              </w:rPr>
              <w:t>30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559B093B" w14:textId="77777777" w:rsidR="005A6DBB" w:rsidRDefault="00F93099">
            <w:pPr>
              <w:spacing w:line="240" w:lineRule="auto"/>
              <w:jc w:val="center"/>
              <w:rPr>
                <w:rFonts w:cs="Calibri"/>
                <w:color w:val="FFFFFF"/>
                <w:sz w:val="16"/>
                <w:szCs w:val="16"/>
              </w:rPr>
            </w:pPr>
            <w:r>
              <w:rPr>
                <w:rFonts w:cs="Calibri"/>
                <w:color w:val="FFFFFF"/>
                <w:sz w:val="16"/>
                <w:szCs w:val="16"/>
              </w:rPr>
              <w:t>143.28</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37BE0975" w14:textId="77777777" w:rsidR="005A6DBB" w:rsidRDefault="00F93099">
            <w:pPr>
              <w:spacing w:line="240" w:lineRule="auto"/>
              <w:jc w:val="center"/>
              <w:rPr>
                <w:rFonts w:cs="Calibri"/>
                <w:color w:val="FFFFFF"/>
                <w:sz w:val="16"/>
                <w:szCs w:val="16"/>
              </w:rPr>
            </w:pPr>
            <w:r>
              <w:rPr>
                <w:rFonts w:cs="Calibri"/>
                <w:color w:val="FFFFFF"/>
                <w:sz w:val="16"/>
                <w:szCs w:val="16"/>
              </w:rPr>
              <w:t>130.88</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107D8BFF" w14:textId="77777777" w:rsidR="005A6DBB" w:rsidRDefault="00F93099">
            <w:pPr>
              <w:spacing w:line="240" w:lineRule="auto"/>
              <w:jc w:val="center"/>
              <w:rPr>
                <w:rFonts w:cs="Calibri"/>
                <w:color w:val="FFFFFF"/>
                <w:sz w:val="16"/>
                <w:szCs w:val="16"/>
              </w:rPr>
            </w:pPr>
            <w:r>
              <w:rPr>
                <w:rFonts w:cs="Calibri"/>
                <w:color w:val="FFFFFF"/>
                <w:sz w:val="16"/>
                <w:szCs w:val="16"/>
              </w:rPr>
              <w:t>114.73</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3B707BD8" w14:textId="77777777" w:rsidR="005A6DBB" w:rsidRDefault="00F93099">
            <w:pPr>
              <w:spacing w:line="240" w:lineRule="auto"/>
              <w:jc w:val="center"/>
              <w:rPr>
                <w:rFonts w:cs="Calibri"/>
                <w:color w:val="FFFFFF"/>
                <w:sz w:val="16"/>
                <w:szCs w:val="16"/>
              </w:rPr>
            </w:pPr>
            <w:r>
              <w:rPr>
                <w:rFonts w:cs="Calibri"/>
                <w:color w:val="FFFFFF"/>
                <w:sz w:val="16"/>
                <w:szCs w:val="16"/>
              </w:rPr>
              <w:t>137.72</w:t>
            </w:r>
          </w:p>
        </w:tc>
        <w:tc>
          <w:tcPr>
            <w:tcW w:w="1185" w:type="dxa"/>
            <w:tcBorders>
              <w:top w:val="single" w:sz="4" w:space="0" w:color="auto"/>
              <w:left w:val="nil"/>
              <w:bottom w:val="single" w:sz="4" w:space="0" w:color="auto"/>
              <w:right w:val="single" w:sz="4" w:space="0" w:color="auto"/>
            </w:tcBorders>
            <w:shd w:val="clear" w:color="auto" w:fill="FF0000"/>
            <w:noWrap/>
            <w:vAlign w:val="center"/>
          </w:tcPr>
          <w:p w14:paraId="654BEEE0" w14:textId="77777777" w:rsidR="005A6DBB" w:rsidRDefault="00F93099">
            <w:pPr>
              <w:spacing w:line="240" w:lineRule="auto"/>
              <w:jc w:val="center"/>
              <w:rPr>
                <w:rFonts w:cs="Calibri"/>
                <w:color w:val="FFFFFF"/>
                <w:sz w:val="16"/>
                <w:szCs w:val="16"/>
              </w:rPr>
            </w:pPr>
            <w:r>
              <w:rPr>
                <w:rFonts w:cs="Calibri"/>
                <w:color w:val="FFFFFF"/>
                <w:sz w:val="16"/>
                <w:szCs w:val="16"/>
              </w:rPr>
              <w:t>137.53</w:t>
            </w:r>
          </w:p>
        </w:tc>
        <w:tc>
          <w:tcPr>
            <w:tcW w:w="1212" w:type="dxa"/>
            <w:tcBorders>
              <w:top w:val="single" w:sz="4" w:space="0" w:color="auto"/>
              <w:left w:val="nil"/>
              <w:bottom w:val="single" w:sz="4" w:space="0" w:color="auto"/>
              <w:right w:val="single" w:sz="4" w:space="0" w:color="auto"/>
            </w:tcBorders>
            <w:shd w:val="clear" w:color="auto" w:fill="FF0000"/>
            <w:noWrap/>
            <w:vAlign w:val="center"/>
          </w:tcPr>
          <w:p w14:paraId="2D17E650" w14:textId="77777777" w:rsidR="005A6DBB" w:rsidRDefault="00F93099">
            <w:pPr>
              <w:spacing w:line="240" w:lineRule="auto"/>
              <w:jc w:val="center"/>
              <w:rPr>
                <w:rFonts w:cs="Calibri"/>
                <w:color w:val="FFFFFF"/>
                <w:sz w:val="16"/>
                <w:szCs w:val="16"/>
              </w:rPr>
            </w:pPr>
            <w:r>
              <w:rPr>
                <w:rFonts w:cs="Calibri"/>
                <w:color w:val="FFFFFF"/>
                <w:sz w:val="16"/>
                <w:szCs w:val="16"/>
              </w:rPr>
              <w:t>139.26</w:t>
            </w:r>
          </w:p>
        </w:tc>
      </w:tr>
      <w:tr w:rsidR="005A6DBB" w14:paraId="203AFBEC"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4971C9F"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7431E776" w14:textId="77777777" w:rsidR="005A6DBB" w:rsidRDefault="00F93099">
            <w:pPr>
              <w:spacing w:line="240" w:lineRule="auto"/>
              <w:jc w:val="left"/>
              <w:rPr>
                <w:rFonts w:cs="Calibri"/>
                <w:color w:val="000000"/>
                <w:sz w:val="16"/>
                <w:szCs w:val="16"/>
              </w:rPr>
            </w:pPr>
            <w:r>
              <w:rPr>
                <w:rFonts w:cs="Calibri"/>
                <w:color w:val="000000"/>
                <w:sz w:val="16"/>
                <w:szCs w:val="16"/>
              </w:rPr>
              <w:t xml:space="preserve">Irregular, Fruitless and Wasteful and Unauthorised Expenditure / Total Operating Expenditure </w:t>
            </w:r>
          </w:p>
        </w:tc>
        <w:tc>
          <w:tcPr>
            <w:tcW w:w="836" w:type="dxa"/>
            <w:tcBorders>
              <w:top w:val="nil"/>
              <w:left w:val="nil"/>
              <w:bottom w:val="single" w:sz="4" w:space="0" w:color="auto"/>
              <w:right w:val="single" w:sz="4" w:space="0" w:color="auto"/>
            </w:tcBorders>
            <w:shd w:val="clear" w:color="000000" w:fill="FFFFFF"/>
            <w:noWrap/>
            <w:vAlign w:val="center"/>
          </w:tcPr>
          <w:p w14:paraId="398982B1" w14:textId="77777777" w:rsidR="005A6DBB" w:rsidRDefault="00F93099">
            <w:pPr>
              <w:spacing w:line="240" w:lineRule="auto"/>
              <w:jc w:val="center"/>
              <w:rPr>
                <w:rFonts w:cs="Calibri"/>
                <w:color w:val="000000"/>
                <w:sz w:val="16"/>
                <w:szCs w:val="16"/>
              </w:rPr>
            </w:pPr>
            <w:r>
              <w:rPr>
                <w:rFonts w:cs="Calibri"/>
                <w:color w:val="000000"/>
                <w:sz w:val="16"/>
                <w:szCs w:val="16"/>
              </w:rPr>
              <w:t>0%</w:t>
            </w:r>
          </w:p>
        </w:tc>
        <w:tc>
          <w:tcPr>
            <w:tcW w:w="1244"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B679EA2" w14:textId="77777777" w:rsidR="005A6DBB" w:rsidRDefault="00F93099">
            <w:pPr>
              <w:spacing w:line="240" w:lineRule="auto"/>
              <w:jc w:val="center"/>
              <w:rPr>
                <w:rFonts w:cs="Calibri"/>
                <w:color w:val="FFFFFF"/>
                <w:sz w:val="16"/>
                <w:szCs w:val="16"/>
              </w:rPr>
            </w:pPr>
            <w:r>
              <w:rPr>
                <w:rFonts w:cs="Calibri"/>
                <w:color w:val="FFFFFF"/>
                <w:sz w:val="16"/>
                <w:szCs w:val="16"/>
              </w:rPr>
              <w:t>90.23%</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013DA0FF" w14:textId="77777777" w:rsidR="005A6DBB" w:rsidRDefault="00F93099">
            <w:pPr>
              <w:spacing w:line="240" w:lineRule="auto"/>
              <w:jc w:val="center"/>
              <w:rPr>
                <w:rFonts w:cs="Calibri"/>
                <w:color w:val="FFFFFF"/>
                <w:sz w:val="16"/>
                <w:szCs w:val="16"/>
              </w:rPr>
            </w:pPr>
            <w:r>
              <w:rPr>
                <w:rFonts w:cs="Calibri"/>
                <w:color w:val="FFFFFF"/>
                <w:sz w:val="16"/>
                <w:szCs w:val="16"/>
              </w:rPr>
              <w:t>93.69%</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3455F8BB" w14:textId="77777777" w:rsidR="005A6DBB" w:rsidRDefault="00F93099">
            <w:pPr>
              <w:spacing w:line="240" w:lineRule="auto"/>
              <w:jc w:val="center"/>
              <w:rPr>
                <w:rFonts w:cs="Calibri"/>
                <w:color w:val="FFFFFF"/>
                <w:sz w:val="16"/>
                <w:szCs w:val="16"/>
              </w:rPr>
            </w:pPr>
            <w:r>
              <w:rPr>
                <w:rFonts w:cs="Calibri"/>
                <w:color w:val="FFFFFF"/>
                <w:sz w:val="16"/>
                <w:szCs w:val="16"/>
              </w:rPr>
              <w:t>96.40%</w:t>
            </w:r>
          </w:p>
        </w:tc>
        <w:tc>
          <w:tcPr>
            <w:tcW w:w="1185" w:type="dxa"/>
            <w:tcBorders>
              <w:top w:val="nil"/>
              <w:left w:val="nil"/>
              <w:bottom w:val="single" w:sz="4" w:space="0" w:color="auto"/>
              <w:right w:val="single" w:sz="4" w:space="0" w:color="auto"/>
            </w:tcBorders>
            <w:shd w:val="clear" w:color="000000" w:fill="D9D9D9"/>
            <w:noWrap/>
            <w:vAlign w:val="bottom"/>
          </w:tcPr>
          <w:p w14:paraId="6133EA36" w14:textId="77777777" w:rsidR="005A6DBB" w:rsidRDefault="005A6DBB">
            <w:pPr>
              <w:spacing w:line="240" w:lineRule="auto"/>
              <w:jc w:val="left"/>
              <w:rPr>
                <w:rFonts w:ascii="Bookman Old Style" w:hAnsi="Bookman Old Style"/>
                <w:sz w:val="24"/>
              </w:rPr>
            </w:pPr>
          </w:p>
        </w:tc>
        <w:tc>
          <w:tcPr>
            <w:tcW w:w="1185" w:type="dxa"/>
            <w:tcBorders>
              <w:top w:val="nil"/>
              <w:left w:val="nil"/>
              <w:bottom w:val="single" w:sz="4" w:space="0" w:color="auto"/>
              <w:right w:val="single" w:sz="4" w:space="0" w:color="auto"/>
            </w:tcBorders>
            <w:shd w:val="clear" w:color="000000" w:fill="D9D9D9"/>
            <w:noWrap/>
            <w:vAlign w:val="bottom"/>
          </w:tcPr>
          <w:p w14:paraId="1FACFB83" w14:textId="77777777" w:rsidR="005A6DBB" w:rsidRDefault="005A6DBB">
            <w:pPr>
              <w:spacing w:line="240" w:lineRule="auto"/>
              <w:jc w:val="left"/>
              <w:rPr>
                <w:rFonts w:ascii="Bookman Old Style" w:hAnsi="Bookman Old Style"/>
                <w:sz w:val="24"/>
              </w:rPr>
            </w:pPr>
          </w:p>
        </w:tc>
        <w:tc>
          <w:tcPr>
            <w:tcW w:w="1212" w:type="dxa"/>
            <w:tcBorders>
              <w:top w:val="nil"/>
              <w:left w:val="nil"/>
              <w:bottom w:val="single" w:sz="4" w:space="0" w:color="auto"/>
              <w:right w:val="single" w:sz="4" w:space="0" w:color="auto"/>
            </w:tcBorders>
            <w:shd w:val="clear" w:color="000000" w:fill="D9D9D9"/>
            <w:noWrap/>
            <w:vAlign w:val="bottom"/>
          </w:tcPr>
          <w:p w14:paraId="4A39A34F" w14:textId="77777777" w:rsidR="005A6DBB" w:rsidRDefault="005A6DBB">
            <w:pPr>
              <w:spacing w:line="240" w:lineRule="auto"/>
              <w:jc w:val="left"/>
              <w:rPr>
                <w:rFonts w:ascii="Bookman Old Style" w:hAnsi="Bookman Old Style"/>
                <w:sz w:val="24"/>
              </w:rPr>
            </w:pPr>
          </w:p>
        </w:tc>
      </w:tr>
      <w:tr w:rsidR="005A6DBB" w14:paraId="4512D242"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11DF47A2"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3DCBBC7C" w14:textId="77777777" w:rsidR="005A6DBB" w:rsidRDefault="00F93099">
            <w:pPr>
              <w:spacing w:line="240" w:lineRule="auto"/>
              <w:jc w:val="left"/>
              <w:rPr>
                <w:rFonts w:cs="Calibri"/>
                <w:color w:val="000000"/>
                <w:sz w:val="16"/>
                <w:szCs w:val="16"/>
              </w:rPr>
            </w:pPr>
            <w:r>
              <w:rPr>
                <w:rFonts w:cs="Calibri"/>
                <w:color w:val="000000"/>
                <w:sz w:val="16"/>
                <w:szCs w:val="16"/>
              </w:rPr>
              <w:t>Remuneration as % of Total Operating Expenditure</w:t>
            </w:r>
          </w:p>
        </w:tc>
        <w:tc>
          <w:tcPr>
            <w:tcW w:w="836" w:type="dxa"/>
            <w:tcBorders>
              <w:top w:val="nil"/>
              <w:left w:val="nil"/>
              <w:bottom w:val="single" w:sz="4" w:space="0" w:color="auto"/>
              <w:right w:val="single" w:sz="4" w:space="0" w:color="auto"/>
            </w:tcBorders>
            <w:shd w:val="clear" w:color="000000" w:fill="FFFFFF"/>
            <w:noWrap/>
            <w:vAlign w:val="center"/>
          </w:tcPr>
          <w:p w14:paraId="4C0AC873" w14:textId="77777777" w:rsidR="005A6DBB" w:rsidRDefault="00F93099">
            <w:pPr>
              <w:spacing w:line="240" w:lineRule="auto"/>
              <w:jc w:val="center"/>
              <w:rPr>
                <w:rFonts w:cs="Calibri"/>
                <w:color w:val="000000"/>
                <w:sz w:val="16"/>
                <w:szCs w:val="16"/>
              </w:rPr>
            </w:pPr>
            <w:r>
              <w:rPr>
                <w:rFonts w:cs="Calibri"/>
                <w:color w:val="000000"/>
                <w:sz w:val="16"/>
                <w:szCs w:val="16"/>
              </w:rPr>
              <w:t>25% - 40%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54B8B0BA" w14:textId="77777777" w:rsidR="005A6DBB" w:rsidRDefault="00F93099">
            <w:pPr>
              <w:spacing w:line="240" w:lineRule="auto"/>
              <w:jc w:val="center"/>
              <w:rPr>
                <w:rFonts w:cs="Calibri"/>
                <w:color w:val="FFFFFF"/>
                <w:sz w:val="16"/>
                <w:szCs w:val="16"/>
              </w:rPr>
            </w:pPr>
            <w:r>
              <w:rPr>
                <w:rFonts w:cs="Calibri"/>
                <w:color w:val="FFFFFF"/>
                <w:sz w:val="16"/>
                <w:szCs w:val="16"/>
              </w:rPr>
              <w:t>29.21%</w:t>
            </w:r>
          </w:p>
        </w:tc>
        <w:tc>
          <w:tcPr>
            <w:tcW w:w="1244" w:type="dxa"/>
            <w:tcBorders>
              <w:top w:val="single" w:sz="4" w:space="0" w:color="auto"/>
              <w:left w:val="nil"/>
              <w:bottom w:val="single" w:sz="4" w:space="0" w:color="auto"/>
              <w:right w:val="single" w:sz="4" w:space="0" w:color="auto"/>
            </w:tcBorders>
            <w:shd w:val="clear" w:color="000000" w:fill="00B050"/>
            <w:noWrap/>
            <w:vAlign w:val="center"/>
          </w:tcPr>
          <w:p w14:paraId="4C60BE50" w14:textId="77777777" w:rsidR="005A6DBB" w:rsidRDefault="00F93099">
            <w:pPr>
              <w:spacing w:line="240" w:lineRule="auto"/>
              <w:jc w:val="center"/>
              <w:rPr>
                <w:rFonts w:cs="Calibri"/>
                <w:color w:val="FFFFFF"/>
                <w:sz w:val="16"/>
                <w:szCs w:val="16"/>
              </w:rPr>
            </w:pPr>
            <w:r>
              <w:rPr>
                <w:rFonts w:cs="Calibri"/>
                <w:color w:val="FFFFFF"/>
                <w:sz w:val="16"/>
                <w:szCs w:val="16"/>
              </w:rPr>
              <w:t>29.15%</w:t>
            </w:r>
          </w:p>
        </w:tc>
        <w:tc>
          <w:tcPr>
            <w:tcW w:w="1248" w:type="dxa"/>
            <w:tcBorders>
              <w:top w:val="single" w:sz="4" w:space="0" w:color="auto"/>
              <w:left w:val="nil"/>
              <w:bottom w:val="single" w:sz="4" w:space="0" w:color="auto"/>
              <w:right w:val="single" w:sz="4" w:space="0" w:color="auto"/>
            </w:tcBorders>
            <w:shd w:val="clear" w:color="000000" w:fill="00B050"/>
            <w:noWrap/>
            <w:vAlign w:val="center"/>
          </w:tcPr>
          <w:p w14:paraId="3671EEBC" w14:textId="77777777" w:rsidR="005A6DBB" w:rsidRDefault="00F93099">
            <w:pPr>
              <w:spacing w:line="240" w:lineRule="auto"/>
              <w:jc w:val="center"/>
              <w:rPr>
                <w:rFonts w:cs="Calibri"/>
                <w:color w:val="FFFFFF"/>
                <w:sz w:val="16"/>
                <w:szCs w:val="16"/>
              </w:rPr>
            </w:pPr>
            <w:r>
              <w:rPr>
                <w:rFonts w:cs="Calibri"/>
                <w:color w:val="FFFFFF"/>
                <w:sz w:val="16"/>
                <w:szCs w:val="16"/>
              </w:rPr>
              <w:t>24.71%</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4BE07CCF" w14:textId="77777777" w:rsidR="005A6DBB" w:rsidRDefault="00F93099">
            <w:pPr>
              <w:spacing w:line="240" w:lineRule="auto"/>
              <w:jc w:val="center"/>
              <w:rPr>
                <w:rFonts w:cs="Calibri"/>
                <w:color w:val="FFFFFF"/>
                <w:sz w:val="16"/>
                <w:szCs w:val="16"/>
              </w:rPr>
            </w:pPr>
            <w:r>
              <w:rPr>
                <w:rFonts w:cs="Calibri"/>
                <w:color w:val="FFFFFF"/>
                <w:sz w:val="16"/>
                <w:szCs w:val="16"/>
              </w:rPr>
              <w:t>27.18%</w:t>
            </w:r>
          </w:p>
        </w:tc>
        <w:tc>
          <w:tcPr>
            <w:tcW w:w="1185" w:type="dxa"/>
            <w:tcBorders>
              <w:top w:val="single" w:sz="4" w:space="0" w:color="auto"/>
              <w:left w:val="nil"/>
              <w:bottom w:val="single" w:sz="4" w:space="0" w:color="auto"/>
              <w:right w:val="single" w:sz="4" w:space="0" w:color="auto"/>
            </w:tcBorders>
            <w:shd w:val="clear" w:color="000000" w:fill="00B050"/>
            <w:noWrap/>
            <w:vAlign w:val="center"/>
          </w:tcPr>
          <w:p w14:paraId="7E20FB38" w14:textId="77777777" w:rsidR="005A6DBB" w:rsidRDefault="00F93099">
            <w:pPr>
              <w:spacing w:line="240" w:lineRule="auto"/>
              <w:jc w:val="center"/>
              <w:rPr>
                <w:rFonts w:cs="Calibri"/>
                <w:color w:val="FFFFFF"/>
                <w:sz w:val="16"/>
                <w:szCs w:val="16"/>
              </w:rPr>
            </w:pPr>
            <w:r>
              <w:rPr>
                <w:rFonts w:cs="Calibri"/>
                <w:color w:val="FFFFFF"/>
                <w:sz w:val="16"/>
                <w:szCs w:val="16"/>
              </w:rPr>
              <w:t>27.62%</w:t>
            </w:r>
          </w:p>
        </w:tc>
        <w:tc>
          <w:tcPr>
            <w:tcW w:w="1212" w:type="dxa"/>
            <w:tcBorders>
              <w:top w:val="single" w:sz="4" w:space="0" w:color="auto"/>
              <w:left w:val="nil"/>
              <w:bottom w:val="single" w:sz="4" w:space="0" w:color="auto"/>
              <w:right w:val="single" w:sz="4" w:space="0" w:color="auto"/>
            </w:tcBorders>
            <w:shd w:val="clear" w:color="000000" w:fill="00B050"/>
            <w:noWrap/>
            <w:vAlign w:val="center"/>
          </w:tcPr>
          <w:p w14:paraId="5252945F" w14:textId="77777777" w:rsidR="005A6DBB" w:rsidRDefault="00F93099">
            <w:pPr>
              <w:spacing w:line="240" w:lineRule="auto"/>
              <w:jc w:val="center"/>
              <w:rPr>
                <w:rFonts w:cs="Calibri"/>
                <w:color w:val="FFFFFF"/>
                <w:sz w:val="16"/>
                <w:szCs w:val="16"/>
              </w:rPr>
            </w:pPr>
            <w:r>
              <w:rPr>
                <w:rFonts w:cs="Calibri"/>
                <w:color w:val="FFFFFF"/>
                <w:sz w:val="16"/>
                <w:szCs w:val="16"/>
              </w:rPr>
              <w:t>27.39%</w:t>
            </w:r>
          </w:p>
        </w:tc>
      </w:tr>
      <w:tr w:rsidR="005A6DBB" w14:paraId="41BED1E7"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7E190E55" w14:textId="77777777" w:rsidR="005A6DBB" w:rsidRDefault="00F93099">
            <w:pPr>
              <w:spacing w:line="240" w:lineRule="auto"/>
              <w:jc w:val="center"/>
              <w:rPr>
                <w:rFonts w:cs="Calibri"/>
                <w:color w:val="000000"/>
                <w:sz w:val="16"/>
                <w:szCs w:val="16"/>
              </w:rPr>
            </w:pPr>
            <w:r>
              <w:rPr>
                <w:rFonts w:cs="Calibri"/>
                <w:color w:val="000000"/>
                <w:sz w:val="16"/>
                <w:szCs w:val="16"/>
              </w:rPr>
              <w:t>4</w:t>
            </w:r>
          </w:p>
        </w:tc>
        <w:tc>
          <w:tcPr>
            <w:tcW w:w="3940" w:type="dxa"/>
            <w:tcBorders>
              <w:top w:val="nil"/>
              <w:left w:val="nil"/>
              <w:bottom w:val="single" w:sz="4" w:space="0" w:color="auto"/>
              <w:right w:val="single" w:sz="4" w:space="0" w:color="auto"/>
            </w:tcBorders>
            <w:shd w:val="clear" w:color="auto" w:fill="auto"/>
            <w:vAlign w:val="center"/>
          </w:tcPr>
          <w:p w14:paraId="2247C359" w14:textId="77777777" w:rsidR="005A6DBB" w:rsidRDefault="00F93099">
            <w:pPr>
              <w:spacing w:line="240" w:lineRule="auto"/>
              <w:jc w:val="left"/>
              <w:rPr>
                <w:rFonts w:cs="Calibri"/>
                <w:color w:val="000000"/>
                <w:sz w:val="16"/>
                <w:szCs w:val="16"/>
              </w:rPr>
            </w:pPr>
            <w:r>
              <w:rPr>
                <w:rFonts w:cs="Calibri"/>
                <w:color w:val="000000"/>
                <w:sz w:val="16"/>
                <w:szCs w:val="16"/>
              </w:rPr>
              <w:t>Contracted Services % of Total Operating Expenditure</w:t>
            </w:r>
          </w:p>
        </w:tc>
        <w:tc>
          <w:tcPr>
            <w:tcW w:w="836" w:type="dxa"/>
            <w:tcBorders>
              <w:top w:val="nil"/>
              <w:left w:val="nil"/>
              <w:bottom w:val="single" w:sz="4" w:space="0" w:color="auto"/>
              <w:right w:val="single" w:sz="4" w:space="0" w:color="auto"/>
            </w:tcBorders>
            <w:shd w:val="clear" w:color="000000" w:fill="FFFFFF"/>
            <w:noWrap/>
            <w:vAlign w:val="center"/>
          </w:tcPr>
          <w:p w14:paraId="361DF989" w14:textId="77777777" w:rsidR="005A6DBB" w:rsidRDefault="00F93099">
            <w:pPr>
              <w:spacing w:line="240" w:lineRule="auto"/>
              <w:jc w:val="center"/>
              <w:rPr>
                <w:rFonts w:cs="Calibri"/>
                <w:color w:val="000000"/>
                <w:sz w:val="16"/>
                <w:szCs w:val="16"/>
              </w:rPr>
            </w:pPr>
            <w:r>
              <w:rPr>
                <w:rFonts w:cs="Calibri"/>
                <w:color w:val="000000"/>
                <w:sz w:val="16"/>
                <w:szCs w:val="16"/>
              </w:rPr>
              <w:t>2% - 5%</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36FACC32" w14:textId="77777777" w:rsidR="005A6DBB" w:rsidRDefault="00F93099">
            <w:pPr>
              <w:spacing w:line="240" w:lineRule="auto"/>
              <w:jc w:val="center"/>
              <w:rPr>
                <w:rFonts w:cs="Calibri"/>
                <w:color w:val="FFFFFF"/>
                <w:sz w:val="16"/>
                <w:szCs w:val="16"/>
              </w:rPr>
            </w:pPr>
            <w:r>
              <w:rPr>
                <w:rFonts w:cs="Calibri"/>
                <w:color w:val="FFFFFF"/>
                <w:sz w:val="16"/>
                <w:szCs w:val="16"/>
              </w:rPr>
              <w:t>5.18%</w:t>
            </w:r>
          </w:p>
        </w:tc>
        <w:tc>
          <w:tcPr>
            <w:tcW w:w="1244" w:type="dxa"/>
            <w:tcBorders>
              <w:top w:val="nil"/>
              <w:left w:val="nil"/>
              <w:bottom w:val="single" w:sz="4" w:space="0" w:color="auto"/>
              <w:right w:val="single" w:sz="4" w:space="0" w:color="auto"/>
            </w:tcBorders>
            <w:shd w:val="clear" w:color="000000" w:fill="00B050"/>
            <w:noWrap/>
            <w:vAlign w:val="center"/>
          </w:tcPr>
          <w:p w14:paraId="4E786252" w14:textId="77777777" w:rsidR="005A6DBB" w:rsidRDefault="00F93099">
            <w:pPr>
              <w:spacing w:line="240" w:lineRule="auto"/>
              <w:jc w:val="center"/>
              <w:rPr>
                <w:rFonts w:cs="Calibri"/>
                <w:color w:val="FFFFFF"/>
                <w:sz w:val="16"/>
                <w:szCs w:val="16"/>
              </w:rPr>
            </w:pPr>
            <w:r>
              <w:rPr>
                <w:rFonts w:cs="Calibri"/>
                <w:color w:val="FFFFFF"/>
                <w:sz w:val="16"/>
                <w:szCs w:val="16"/>
              </w:rPr>
              <w:t>4.73%</w:t>
            </w:r>
          </w:p>
        </w:tc>
        <w:tc>
          <w:tcPr>
            <w:tcW w:w="1248" w:type="dxa"/>
            <w:tcBorders>
              <w:top w:val="nil"/>
              <w:left w:val="nil"/>
              <w:bottom w:val="single" w:sz="4" w:space="0" w:color="auto"/>
              <w:right w:val="single" w:sz="4" w:space="0" w:color="auto"/>
            </w:tcBorders>
            <w:shd w:val="clear" w:color="000000" w:fill="00B050"/>
            <w:noWrap/>
            <w:vAlign w:val="center"/>
          </w:tcPr>
          <w:p w14:paraId="7B60BA8D" w14:textId="77777777" w:rsidR="005A6DBB" w:rsidRDefault="00F93099">
            <w:pPr>
              <w:spacing w:line="240" w:lineRule="auto"/>
              <w:jc w:val="center"/>
              <w:rPr>
                <w:rFonts w:cs="Calibri"/>
                <w:color w:val="FFFFFF"/>
                <w:sz w:val="16"/>
                <w:szCs w:val="16"/>
              </w:rPr>
            </w:pPr>
            <w:r>
              <w:rPr>
                <w:rFonts w:cs="Calibri"/>
                <w:color w:val="FFFFFF"/>
                <w:sz w:val="16"/>
                <w:szCs w:val="16"/>
              </w:rPr>
              <w:t>3.79%</w:t>
            </w:r>
          </w:p>
        </w:tc>
        <w:tc>
          <w:tcPr>
            <w:tcW w:w="1185" w:type="dxa"/>
            <w:tcBorders>
              <w:top w:val="nil"/>
              <w:left w:val="nil"/>
              <w:bottom w:val="single" w:sz="4" w:space="0" w:color="auto"/>
              <w:right w:val="single" w:sz="4" w:space="0" w:color="auto"/>
            </w:tcBorders>
            <w:shd w:val="clear" w:color="auto" w:fill="FF0000"/>
            <w:noWrap/>
            <w:vAlign w:val="center"/>
          </w:tcPr>
          <w:p w14:paraId="48E1C076" w14:textId="77777777" w:rsidR="005A6DBB" w:rsidRDefault="00F93099">
            <w:pPr>
              <w:spacing w:line="240" w:lineRule="auto"/>
              <w:jc w:val="center"/>
              <w:rPr>
                <w:rFonts w:cs="Calibri"/>
                <w:color w:val="FFFFFF"/>
                <w:sz w:val="16"/>
                <w:szCs w:val="16"/>
              </w:rPr>
            </w:pPr>
            <w:r>
              <w:rPr>
                <w:rFonts w:cs="Calibri"/>
                <w:color w:val="FFFFFF"/>
                <w:sz w:val="16"/>
                <w:szCs w:val="16"/>
              </w:rPr>
              <w:t>7.70%</w:t>
            </w:r>
          </w:p>
        </w:tc>
        <w:tc>
          <w:tcPr>
            <w:tcW w:w="1185" w:type="dxa"/>
            <w:tcBorders>
              <w:top w:val="nil"/>
              <w:left w:val="nil"/>
              <w:bottom w:val="single" w:sz="4" w:space="0" w:color="auto"/>
              <w:right w:val="single" w:sz="4" w:space="0" w:color="auto"/>
            </w:tcBorders>
            <w:shd w:val="clear" w:color="auto" w:fill="FF0000"/>
            <w:noWrap/>
            <w:vAlign w:val="center"/>
          </w:tcPr>
          <w:p w14:paraId="17A157D8" w14:textId="77777777" w:rsidR="005A6DBB" w:rsidRDefault="00F93099">
            <w:pPr>
              <w:spacing w:line="240" w:lineRule="auto"/>
              <w:jc w:val="center"/>
              <w:rPr>
                <w:rFonts w:cs="Calibri"/>
                <w:color w:val="FFFFFF"/>
                <w:sz w:val="16"/>
                <w:szCs w:val="16"/>
              </w:rPr>
            </w:pPr>
            <w:r>
              <w:rPr>
                <w:rFonts w:cs="Calibri"/>
                <w:color w:val="FFFFFF"/>
                <w:sz w:val="16"/>
                <w:szCs w:val="16"/>
              </w:rPr>
              <w:t>7.75%</w:t>
            </w:r>
          </w:p>
        </w:tc>
        <w:tc>
          <w:tcPr>
            <w:tcW w:w="1212" w:type="dxa"/>
            <w:tcBorders>
              <w:top w:val="nil"/>
              <w:left w:val="nil"/>
              <w:bottom w:val="single" w:sz="4" w:space="0" w:color="auto"/>
              <w:right w:val="single" w:sz="4" w:space="0" w:color="auto"/>
            </w:tcBorders>
            <w:shd w:val="clear" w:color="auto" w:fill="FF0000"/>
            <w:noWrap/>
            <w:vAlign w:val="center"/>
          </w:tcPr>
          <w:p w14:paraId="23B3BF4E" w14:textId="77777777" w:rsidR="005A6DBB" w:rsidRDefault="00F93099">
            <w:pPr>
              <w:spacing w:line="240" w:lineRule="auto"/>
              <w:jc w:val="center"/>
              <w:rPr>
                <w:rFonts w:cs="Calibri"/>
                <w:color w:val="FFFFFF"/>
                <w:sz w:val="16"/>
                <w:szCs w:val="16"/>
              </w:rPr>
            </w:pPr>
            <w:r>
              <w:rPr>
                <w:rFonts w:cs="Calibri"/>
                <w:color w:val="FFFFFF"/>
                <w:sz w:val="16"/>
                <w:szCs w:val="16"/>
              </w:rPr>
              <w:t>7.60%</w:t>
            </w:r>
          </w:p>
        </w:tc>
      </w:tr>
      <w:tr w:rsidR="005A6DBB" w14:paraId="734B6E00"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D9E2F3"/>
            <w:noWrap/>
            <w:vAlign w:val="center"/>
          </w:tcPr>
          <w:p w14:paraId="50875818" w14:textId="77777777" w:rsidR="005A6DBB" w:rsidRDefault="00F93099">
            <w:pPr>
              <w:spacing w:line="240" w:lineRule="auto"/>
              <w:jc w:val="left"/>
              <w:rPr>
                <w:rFonts w:cs="Calibri"/>
                <w:b/>
                <w:bCs/>
                <w:color w:val="000000"/>
                <w:sz w:val="16"/>
                <w:szCs w:val="16"/>
              </w:rPr>
            </w:pPr>
            <w:r>
              <w:rPr>
                <w:rFonts w:cs="Calibri"/>
                <w:b/>
                <w:bCs/>
                <w:color w:val="000000"/>
                <w:sz w:val="16"/>
                <w:szCs w:val="16"/>
              </w:rPr>
              <w:t>Grant Dependency</w:t>
            </w:r>
          </w:p>
        </w:tc>
      </w:tr>
      <w:tr w:rsidR="005A6DBB" w14:paraId="45D9BAC5"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2FC7FBAC"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260ED120" w14:textId="77777777" w:rsidR="005A6DBB" w:rsidRDefault="00F93099">
            <w:pPr>
              <w:spacing w:line="240" w:lineRule="auto"/>
              <w:jc w:val="left"/>
              <w:rPr>
                <w:rFonts w:cs="Calibri"/>
                <w:color w:val="000000"/>
                <w:sz w:val="16"/>
                <w:szCs w:val="16"/>
              </w:rPr>
            </w:pPr>
            <w:r>
              <w:rPr>
                <w:rFonts w:cs="Calibri"/>
                <w:color w:val="000000"/>
                <w:sz w:val="16"/>
                <w:szCs w:val="16"/>
              </w:rPr>
              <w:t xml:space="preserve">Own funded Capital Expenditure (Internally generated funds + Borrowings) to Total Capital Expenditure </w:t>
            </w:r>
          </w:p>
        </w:tc>
        <w:tc>
          <w:tcPr>
            <w:tcW w:w="836" w:type="dxa"/>
            <w:tcBorders>
              <w:top w:val="nil"/>
              <w:left w:val="nil"/>
              <w:bottom w:val="single" w:sz="4" w:space="0" w:color="auto"/>
              <w:right w:val="single" w:sz="4" w:space="0" w:color="auto"/>
            </w:tcBorders>
            <w:shd w:val="clear" w:color="000000" w:fill="FFFFFF"/>
            <w:noWrap/>
            <w:vAlign w:val="center"/>
          </w:tcPr>
          <w:p w14:paraId="217971B9" w14:textId="77777777" w:rsidR="005A6DBB" w:rsidRDefault="00F93099">
            <w:pPr>
              <w:spacing w:line="240" w:lineRule="auto"/>
              <w:jc w:val="center"/>
              <w:rPr>
                <w:rFonts w:cs="Calibri"/>
                <w:color w:val="000000"/>
                <w:sz w:val="16"/>
                <w:szCs w:val="16"/>
              </w:rPr>
            </w:pPr>
            <w:r>
              <w:rPr>
                <w:rFonts w:cs="Calibri"/>
                <w:color w:val="000000"/>
                <w:sz w:val="16"/>
                <w:szCs w:val="16"/>
              </w:rPr>
              <w:t>None</w:t>
            </w:r>
          </w:p>
        </w:tc>
        <w:tc>
          <w:tcPr>
            <w:tcW w:w="124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4B0C896B" w14:textId="77777777" w:rsidR="005A6DBB" w:rsidRDefault="00F93099">
            <w:pPr>
              <w:spacing w:line="240" w:lineRule="auto"/>
              <w:jc w:val="center"/>
              <w:rPr>
                <w:rFonts w:cs="Calibri"/>
                <w:color w:val="FFFFFF"/>
                <w:sz w:val="16"/>
                <w:szCs w:val="16"/>
              </w:rPr>
            </w:pPr>
            <w:r>
              <w:rPr>
                <w:rFonts w:cs="Calibri"/>
                <w:color w:val="FFFFFF"/>
                <w:sz w:val="16"/>
                <w:szCs w:val="16"/>
              </w:rPr>
              <w:t>31.90%</w:t>
            </w:r>
          </w:p>
        </w:tc>
        <w:tc>
          <w:tcPr>
            <w:tcW w:w="1244"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3B00A517" w14:textId="77777777" w:rsidR="005A6DBB" w:rsidRDefault="00F93099">
            <w:pPr>
              <w:spacing w:line="240" w:lineRule="auto"/>
              <w:jc w:val="center"/>
              <w:rPr>
                <w:rFonts w:cs="Calibri"/>
                <w:color w:val="FFFFFF"/>
                <w:sz w:val="16"/>
                <w:szCs w:val="16"/>
              </w:rPr>
            </w:pPr>
            <w:r>
              <w:rPr>
                <w:rFonts w:cs="Calibri"/>
                <w:color w:val="FFFFFF"/>
                <w:sz w:val="16"/>
                <w:szCs w:val="16"/>
              </w:rPr>
              <w:t>26.10%</w:t>
            </w:r>
          </w:p>
        </w:tc>
        <w:tc>
          <w:tcPr>
            <w:tcW w:w="1248"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22CA2751" w14:textId="77777777" w:rsidR="005A6DBB" w:rsidRDefault="00F93099">
            <w:pPr>
              <w:spacing w:line="240" w:lineRule="auto"/>
              <w:jc w:val="center"/>
              <w:rPr>
                <w:rFonts w:cs="Calibri"/>
                <w:color w:val="FFFFFF"/>
                <w:sz w:val="16"/>
                <w:szCs w:val="16"/>
              </w:rPr>
            </w:pPr>
            <w:r>
              <w:rPr>
                <w:rFonts w:cs="Calibri"/>
                <w:color w:val="FFFFFF"/>
                <w:sz w:val="16"/>
                <w:szCs w:val="16"/>
              </w:rPr>
              <w:t>15.43%</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0531E99" w14:textId="77777777" w:rsidR="005A6DBB" w:rsidRDefault="00F93099">
            <w:pPr>
              <w:spacing w:line="240" w:lineRule="auto"/>
              <w:jc w:val="center"/>
              <w:rPr>
                <w:rFonts w:cs="Calibri"/>
                <w:color w:val="FFFFFF"/>
                <w:sz w:val="16"/>
                <w:szCs w:val="16"/>
              </w:rPr>
            </w:pPr>
            <w:r>
              <w:rPr>
                <w:rFonts w:cs="Calibri"/>
                <w:color w:val="FFFFFF"/>
                <w:sz w:val="16"/>
                <w:szCs w:val="16"/>
              </w:rPr>
              <w:t>23.68%</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FC9BB0F" w14:textId="77777777" w:rsidR="005A6DBB" w:rsidRDefault="00F93099">
            <w:pPr>
              <w:spacing w:line="240" w:lineRule="auto"/>
              <w:jc w:val="center"/>
              <w:rPr>
                <w:rFonts w:cs="Calibri"/>
                <w:color w:val="FFFFFF"/>
                <w:sz w:val="16"/>
                <w:szCs w:val="16"/>
              </w:rPr>
            </w:pPr>
            <w:r>
              <w:rPr>
                <w:rFonts w:cs="Calibri"/>
                <w:color w:val="FFFFFF"/>
                <w:sz w:val="16"/>
                <w:szCs w:val="16"/>
              </w:rPr>
              <w:t>23.68%</w:t>
            </w:r>
          </w:p>
        </w:tc>
        <w:tc>
          <w:tcPr>
            <w:tcW w:w="1212"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091A025F" w14:textId="77777777" w:rsidR="005A6DBB" w:rsidRDefault="00F93099">
            <w:pPr>
              <w:spacing w:line="240" w:lineRule="auto"/>
              <w:jc w:val="center"/>
              <w:rPr>
                <w:rFonts w:cs="Calibri"/>
                <w:color w:val="FFFFFF"/>
                <w:sz w:val="16"/>
                <w:szCs w:val="16"/>
              </w:rPr>
            </w:pPr>
            <w:r>
              <w:rPr>
                <w:rFonts w:cs="Calibri"/>
                <w:color w:val="FFFFFF"/>
                <w:sz w:val="16"/>
                <w:szCs w:val="16"/>
              </w:rPr>
              <w:t>23.68%</w:t>
            </w:r>
          </w:p>
        </w:tc>
      </w:tr>
      <w:tr w:rsidR="005A6DBB" w14:paraId="190B4DD5"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CDF039D"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229A7507" w14:textId="77777777" w:rsidR="005A6DBB" w:rsidRDefault="00F93099">
            <w:pPr>
              <w:spacing w:line="240" w:lineRule="auto"/>
              <w:jc w:val="left"/>
              <w:rPr>
                <w:rFonts w:cs="Calibri"/>
                <w:color w:val="000000"/>
                <w:sz w:val="16"/>
                <w:szCs w:val="16"/>
              </w:rPr>
            </w:pPr>
            <w:r>
              <w:rPr>
                <w:rFonts w:cs="Calibri"/>
                <w:color w:val="000000"/>
                <w:sz w:val="16"/>
                <w:szCs w:val="16"/>
              </w:rPr>
              <w:t xml:space="preserve">Own funded Capital Expenditure (Internally Generated Funds) to Total Capital Expenditure </w:t>
            </w:r>
          </w:p>
        </w:tc>
        <w:tc>
          <w:tcPr>
            <w:tcW w:w="836" w:type="dxa"/>
            <w:tcBorders>
              <w:top w:val="nil"/>
              <w:left w:val="nil"/>
              <w:bottom w:val="single" w:sz="4" w:space="0" w:color="auto"/>
              <w:right w:val="single" w:sz="4" w:space="0" w:color="auto"/>
            </w:tcBorders>
            <w:shd w:val="clear" w:color="000000" w:fill="FFFFFF"/>
            <w:noWrap/>
            <w:vAlign w:val="center"/>
          </w:tcPr>
          <w:p w14:paraId="1A8862F7" w14:textId="77777777" w:rsidR="005A6DBB" w:rsidRDefault="00F93099">
            <w:pPr>
              <w:spacing w:line="240" w:lineRule="auto"/>
              <w:jc w:val="center"/>
              <w:rPr>
                <w:rFonts w:cs="Calibri"/>
                <w:color w:val="000000"/>
                <w:sz w:val="16"/>
                <w:szCs w:val="16"/>
              </w:rPr>
            </w:pPr>
            <w:r>
              <w:rPr>
                <w:rFonts w:cs="Calibri"/>
                <w:color w:val="000000"/>
                <w:sz w:val="16"/>
                <w:szCs w:val="16"/>
              </w:rPr>
              <w:t>None</w:t>
            </w:r>
          </w:p>
        </w:tc>
        <w:tc>
          <w:tcPr>
            <w:tcW w:w="1244" w:type="dxa"/>
            <w:tcBorders>
              <w:top w:val="nil"/>
              <w:left w:val="single" w:sz="4" w:space="0" w:color="auto"/>
              <w:bottom w:val="single" w:sz="4" w:space="0" w:color="auto"/>
              <w:right w:val="single" w:sz="4" w:space="0" w:color="auto"/>
            </w:tcBorders>
            <w:shd w:val="clear" w:color="auto" w:fill="808080" w:themeFill="background1" w:themeFillShade="80"/>
            <w:noWrap/>
            <w:vAlign w:val="center"/>
          </w:tcPr>
          <w:p w14:paraId="7D4953E6" w14:textId="77777777" w:rsidR="005A6DBB" w:rsidRDefault="00F93099">
            <w:pPr>
              <w:spacing w:line="240" w:lineRule="auto"/>
              <w:jc w:val="center"/>
              <w:rPr>
                <w:rFonts w:cs="Calibri"/>
                <w:color w:val="FFFFFF"/>
                <w:sz w:val="16"/>
                <w:szCs w:val="16"/>
              </w:rPr>
            </w:pPr>
            <w:r>
              <w:rPr>
                <w:rFonts w:cs="Calibri"/>
                <w:color w:val="FFFFFF"/>
                <w:sz w:val="16"/>
                <w:szCs w:val="16"/>
              </w:rPr>
              <w:t>20.29%</w:t>
            </w:r>
          </w:p>
        </w:tc>
        <w:tc>
          <w:tcPr>
            <w:tcW w:w="1244" w:type="dxa"/>
            <w:tcBorders>
              <w:top w:val="nil"/>
              <w:left w:val="nil"/>
              <w:bottom w:val="single" w:sz="4" w:space="0" w:color="auto"/>
              <w:right w:val="single" w:sz="4" w:space="0" w:color="auto"/>
            </w:tcBorders>
            <w:shd w:val="clear" w:color="auto" w:fill="808080" w:themeFill="background1" w:themeFillShade="80"/>
            <w:noWrap/>
            <w:vAlign w:val="center"/>
          </w:tcPr>
          <w:p w14:paraId="0124AB46" w14:textId="77777777" w:rsidR="005A6DBB" w:rsidRDefault="00F93099">
            <w:pPr>
              <w:spacing w:line="240" w:lineRule="auto"/>
              <w:jc w:val="center"/>
              <w:rPr>
                <w:rFonts w:cs="Calibri"/>
                <w:color w:val="FFFFFF"/>
                <w:sz w:val="16"/>
                <w:szCs w:val="16"/>
              </w:rPr>
            </w:pPr>
            <w:r>
              <w:rPr>
                <w:rFonts w:cs="Calibri"/>
                <w:color w:val="FFFFFF"/>
                <w:sz w:val="16"/>
                <w:szCs w:val="16"/>
              </w:rPr>
              <w:t>17.04%</w:t>
            </w:r>
          </w:p>
        </w:tc>
        <w:tc>
          <w:tcPr>
            <w:tcW w:w="1248" w:type="dxa"/>
            <w:tcBorders>
              <w:top w:val="nil"/>
              <w:left w:val="nil"/>
              <w:bottom w:val="single" w:sz="4" w:space="0" w:color="auto"/>
              <w:right w:val="single" w:sz="4" w:space="0" w:color="auto"/>
            </w:tcBorders>
            <w:shd w:val="clear" w:color="auto" w:fill="808080" w:themeFill="background1" w:themeFillShade="80"/>
            <w:noWrap/>
            <w:vAlign w:val="center"/>
          </w:tcPr>
          <w:p w14:paraId="76CB54B3" w14:textId="77777777" w:rsidR="005A6DBB" w:rsidRDefault="00F93099">
            <w:pPr>
              <w:spacing w:line="240" w:lineRule="auto"/>
              <w:jc w:val="center"/>
              <w:rPr>
                <w:rFonts w:cs="Calibri"/>
                <w:color w:val="FFFFFF"/>
                <w:sz w:val="16"/>
                <w:szCs w:val="16"/>
              </w:rPr>
            </w:pPr>
            <w:r>
              <w:rPr>
                <w:rFonts w:cs="Calibri"/>
                <w:color w:val="FFFFFF"/>
                <w:sz w:val="16"/>
                <w:szCs w:val="16"/>
              </w:rPr>
              <w:t>15.43%</w:t>
            </w:r>
          </w:p>
        </w:tc>
        <w:tc>
          <w:tcPr>
            <w:tcW w:w="1185" w:type="dxa"/>
            <w:tcBorders>
              <w:top w:val="nil"/>
              <w:left w:val="nil"/>
              <w:bottom w:val="single" w:sz="4" w:space="0" w:color="auto"/>
              <w:right w:val="single" w:sz="4" w:space="0" w:color="auto"/>
            </w:tcBorders>
            <w:shd w:val="clear" w:color="auto" w:fill="808080" w:themeFill="background1" w:themeFillShade="80"/>
            <w:noWrap/>
            <w:vAlign w:val="center"/>
          </w:tcPr>
          <w:p w14:paraId="717D40AD" w14:textId="77777777" w:rsidR="005A6DBB" w:rsidRDefault="00F93099">
            <w:pPr>
              <w:spacing w:line="240" w:lineRule="auto"/>
              <w:jc w:val="center"/>
              <w:rPr>
                <w:rFonts w:cs="Calibri"/>
                <w:color w:val="FFFFFF"/>
                <w:sz w:val="16"/>
                <w:szCs w:val="16"/>
              </w:rPr>
            </w:pPr>
            <w:r>
              <w:rPr>
                <w:rFonts w:cs="Calibri"/>
                <w:color w:val="FFFFFF"/>
                <w:sz w:val="16"/>
                <w:szCs w:val="16"/>
              </w:rPr>
              <w:t>23.68%</w:t>
            </w:r>
          </w:p>
        </w:tc>
        <w:tc>
          <w:tcPr>
            <w:tcW w:w="1185" w:type="dxa"/>
            <w:tcBorders>
              <w:top w:val="nil"/>
              <w:left w:val="nil"/>
              <w:bottom w:val="single" w:sz="4" w:space="0" w:color="auto"/>
              <w:right w:val="single" w:sz="4" w:space="0" w:color="auto"/>
            </w:tcBorders>
            <w:shd w:val="clear" w:color="auto" w:fill="808080" w:themeFill="background1" w:themeFillShade="80"/>
            <w:noWrap/>
            <w:vAlign w:val="center"/>
          </w:tcPr>
          <w:p w14:paraId="6D271692" w14:textId="77777777" w:rsidR="005A6DBB" w:rsidRDefault="00F93099">
            <w:pPr>
              <w:spacing w:line="240" w:lineRule="auto"/>
              <w:jc w:val="center"/>
              <w:rPr>
                <w:rFonts w:cs="Calibri"/>
                <w:color w:val="FFFFFF"/>
                <w:sz w:val="16"/>
                <w:szCs w:val="16"/>
              </w:rPr>
            </w:pPr>
            <w:r>
              <w:rPr>
                <w:rFonts w:cs="Calibri"/>
                <w:color w:val="FFFFFF"/>
                <w:sz w:val="16"/>
                <w:szCs w:val="16"/>
              </w:rPr>
              <w:t>23.68%</w:t>
            </w:r>
          </w:p>
        </w:tc>
        <w:tc>
          <w:tcPr>
            <w:tcW w:w="1212" w:type="dxa"/>
            <w:tcBorders>
              <w:top w:val="nil"/>
              <w:left w:val="nil"/>
              <w:bottom w:val="single" w:sz="4" w:space="0" w:color="auto"/>
              <w:right w:val="single" w:sz="4" w:space="0" w:color="auto"/>
            </w:tcBorders>
            <w:shd w:val="clear" w:color="auto" w:fill="808080" w:themeFill="background1" w:themeFillShade="80"/>
            <w:noWrap/>
            <w:vAlign w:val="center"/>
          </w:tcPr>
          <w:p w14:paraId="0F99C445" w14:textId="77777777" w:rsidR="005A6DBB" w:rsidRDefault="00F93099">
            <w:pPr>
              <w:spacing w:line="240" w:lineRule="auto"/>
              <w:jc w:val="center"/>
              <w:rPr>
                <w:rFonts w:cs="Calibri"/>
                <w:color w:val="FFFFFF"/>
                <w:sz w:val="16"/>
                <w:szCs w:val="16"/>
              </w:rPr>
            </w:pPr>
            <w:r>
              <w:rPr>
                <w:rFonts w:cs="Calibri"/>
                <w:color w:val="FFFFFF"/>
                <w:sz w:val="16"/>
                <w:szCs w:val="16"/>
              </w:rPr>
              <w:t>23.68%</w:t>
            </w:r>
          </w:p>
        </w:tc>
      </w:tr>
      <w:tr w:rsidR="005A6DBB" w14:paraId="18527ED8"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1B591C9"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0DA6A8B6" w14:textId="77777777" w:rsidR="005A6DBB" w:rsidRDefault="00F93099">
            <w:pPr>
              <w:spacing w:line="240" w:lineRule="auto"/>
              <w:jc w:val="left"/>
              <w:rPr>
                <w:rFonts w:cs="Calibri"/>
                <w:color w:val="000000"/>
                <w:sz w:val="16"/>
                <w:szCs w:val="16"/>
              </w:rPr>
            </w:pPr>
            <w:r>
              <w:rPr>
                <w:rFonts w:cs="Calibri"/>
                <w:color w:val="000000"/>
                <w:sz w:val="16"/>
                <w:szCs w:val="16"/>
              </w:rPr>
              <w:t>Own Source Revenue to Total Operating Revenue (Including Agency Revenue)</w:t>
            </w:r>
          </w:p>
        </w:tc>
        <w:tc>
          <w:tcPr>
            <w:tcW w:w="836" w:type="dxa"/>
            <w:tcBorders>
              <w:top w:val="nil"/>
              <w:left w:val="nil"/>
              <w:bottom w:val="single" w:sz="4" w:space="0" w:color="auto"/>
              <w:right w:val="single" w:sz="4" w:space="0" w:color="auto"/>
            </w:tcBorders>
            <w:shd w:val="clear" w:color="000000" w:fill="FFFFFF"/>
            <w:noWrap/>
            <w:vAlign w:val="center"/>
          </w:tcPr>
          <w:p w14:paraId="4DA2F5AE" w14:textId="77777777" w:rsidR="005A6DBB" w:rsidRDefault="00F93099">
            <w:pPr>
              <w:spacing w:line="240" w:lineRule="auto"/>
              <w:jc w:val="center"/>
              <w:rPr>
                <w:rFonts w:cs="Calibri"/>
                <w:color w:val="000000"/>
                <w:sz w:val="16"/>
                <w:szCs w:val="16"/>
              </w:rPr>
            </w:pPr>
            <w:r>
              <w:rPr>
                <w:rFonts w:cs="Calibri"/>
                <w:color w:val="000000"/>
                <w:sz w:val="16"/>
                <w:szCs w:val="16"/>
              </w:rPr>
              <w:t>None</w:t>
            </w:r>
          </w:p>
        </w:tc>
        <w:tc>
          <w:tcPr>
            <w:tcW w:w="124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p w14:paraId="7FB7EA73" w14:textId="77777777" w:rsidR="005A6DBB" w:rsidRDefault="00F93099">
            <w:pPr>
              <w:spacing w:line="240" w:lineRule="auto"/>
              <w:jc w:val="center"/>
              <w:rPr>
                <w:rFonts w:cs="Calibri"/>
                <w:color w:val="FFFFFF"/>
                <w:sz w:val="16"/>
                <w:szCs w:val="16"/>
              </w:rPr>
            </w:pPr>
            <w:r>
              <w:rPr>
                <w:rFonts w:cs="Calibri"/>
                <w:color w:val="FFFFFF"/>
                <w:sz w:val="16"/>
                <w:szCs w:val="16"/>
              </w:rPr>
              <w:t>79.31%</w:t>
            </w:r>
          </w:p>
        </w:tc>
        <w:tc>
          <w:tcPr>
            <w:tcW w:w="1244"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4DAA409A" w14:textId="77777777" w:rsidR="005A6DBB" w:rsidRDefault="00F93099">
            <w:pPr>
              <w:spacing w:line="240" w:lineRule="auto"/>
              <w:jc w:val="center"/>
              <w:rPr>
                <w:rFonts w:cs="Calibri"/>
                <w:color w:val="FFFFFF"/>
                <w:sz w:val="16"/>
                <w:szCs w:val="16"/>
              </w:rPr>
            </w:pPr>
            <w:r>
              <w:rPr>
                <w:rFonts w:cs="Calibri"/>
                <w:color w:val="FFFFFF"/>
                <w:sz w:val="16"/>
                <w:szCs w:val="16"/>
              </w:rPr>
              <w:t>73.42%</w:t>
            </w:r>
          </w:p>
        </w:tc>
        <w:tc>
          <w:tcPr>
            <w:tcW w:w="1248"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177D337B" w14:textId="77777777" w:rsidR="005A6DBB" w:rsidRDefault="00F93099">
            <w:pPr>
              <w:spacing w:line="240" w:lineRule="auto"/>
              <w:jc w:val="center"/>
              <w:rPr>
                <w:rFonts w:cs="Calibri"/>
                <w:color w:val="FFFFFF"/>
                <w:sz w:val="16"/>
                <w:szCs w:val="16"/>
              </w:rPr>
            </w:pPr>
            <w:r>
              <w:rPr>
                <w:rFonts w:cs="Calibri"/>
                <w:color w:val="FFFFFF"/>
                <w:sz w:val="16"/>
                <w:szCs w:val="16"/>
              </w:rPr>
              <w:t>75.07%</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392CBFDD" w14:textId="77777777" w:rsidR="005A6DBB" w:rsidRDefault="00F93099">
            <w:pPr>
              <w:spacing w:line="240" w:lineRule="auto"/>
              <w:jc w:val="center"/>
              <w:rPr>
                <w:rFonts w:cs="Calibri"/>
                <w:color w:val="FFFFFF"/>
                <w:sz w:val="16"/>
                <w:szCs w:val="16"/>
              </w:rPr>
            </w:pPr>
            <w:r>
              <w:rPr>
                <w:rFonts w:cs="Calibri"/>
                <w:color w:val="FFFFFF"/>
                <w:sz w:val="16"/>
                <w:szCs w:val="16"/>
              </w:rPr>
              <w:t>88.18%</w:t>
            </w:r>
          </w:p>
        </w:tc>
        <w:tc>
          <w:tcPr>
            <w:tcW w:w="1185"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04C95462" w14:textId="77777777" w:rsidR="005A6DBB" w:rsidRDefault="00F93099">
            <w:pPr>
              <w:spacing w:line="240" w:lineRule="auto"/>
              <w:jc w:val="center"/>
              <w:rPr>
                <w:rFonts w:cs="Calibri"/>
                <w:color w:val="FFFFFF"/>
                <w:sz w:val="16"/>
                <w:szCs w:val="16"/>
              </w:rPr>
            </w:pPr>
            <w:r>
              <w:rPr>
                <w:rFonts w:cs="Calibri"/>
                <w:color w:val="FFFFFF"/>
                <w:sz w:val="16"/>
                <w:szCs w:val="16"/>
              </w:rPr>
              <w:t>87.98%</w:t>
            </w:r>
          </w:p>
        </w:tc>
        <w:tc>
          <w:tcPr>
            <w:tcW w:w="1212"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14:paraId="3AB6F7F0" w14:textId="77777777" w:rsidR="005A6DBB" w:rsidRDefault="00F93099">
            <w:pPr>
              <w:spacing w:line="240" w:lineRule="auto"/>
              <w:jc w:val="center"/>
              <w:rPr>
                <w:rFonts w:cs="Calibri"/>
                <w:color w:val="FFFFFF"/>
                <w:sz w:val="16"/>
                <w:szCs w:val="16"/>
              </w:rPr>
            </w:pPr>
            <w:r>
              <w:rPr>
                <w:rFonts w:cs="Calibri"/>
                <w:color w:val="FFFFFF"/>
                <w:sz w:val="16"/>
                <w:szCs w:val="16"/>
              </w:rPr>
              <w:t>87.99%</w:t>
            </w:r>
          </w:p>
        </w:tc>
      </w:tr>
      <w:tr w:rsidR="005A6DBB" w14:paraId="2BD5DC9D" w14:textId="77777777">
        <w:trPr>
          <w:trHeight w:val="312"/>
        </w:trPr>
        <w:tc>
          <w:tcPr>
            <w:tcW w:w="13887"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tcPr>
          <w:p w14:paraId="2FD8D0FA" w14:textId="77777777" w:rsidR="005A6DBB" w:rsidRDefault="00F93099">
            <w:pPr>
              <w:spacing w:line="240" w:lineRule="auto"/>
              <w:jc w:val="left"/>
              <w:rPr>
                <w:rFonts w:cs="Calibri"/>
                <w:b/>
                <w:bCs/>
                <w:color w:val="000000"/>
                <w:sz w:val="16"/>
                <w:szCs w:val="16"/>
              </w:rPr>
            </w:pPr>
            <w:r>
              <w:rPr>
                <w:rFonts w:cs="Calibri"/>
                <w:b/>
                <w:bCs/>
                <w:color w:val="000000"/>
                <w:sz w:val="16"/>
                <w:szCs w:val="16"/>
              </w:rPr>
              <w:t>BUDGET IMPLEMENTATION</w:t>
            </w:r>
          </w:p>
        </w:tc>
      </w:tr>
      <w:tr w:rsidR="005A6DBB" w14:paraId="4A202BD3"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67D4C0D" w14:textId="77777777" w:rsidR="005A6DBB" w:rsidRDefault="00F93099">
            <w:pPr>
              <w:spacing w:line="240" w:lineRule="auto"/>
              <w:jc w:val="center"/>
              <w:rPr>
                <w:rFonts w:cs="Calibri"/>
                <w:color w:val="000000"/>
                <w:sz w:val="16"/>
                <w:szCs w:val="16"/>
              </w:rPr>
            </w:pPr>
            <w:r>
              <w:rPr>
                <w:rFonts w:cs="Calibri"/>
                <w:color w:val="000000"/>
                <w:sz w:val="16"/>
                <w:szCs w:val="16"/>
              </w:rPr>
              <w:t>1</w:t>
            </w:r>
          </w:p>
        </w:tc>
        <w:tc>
          <w:tcPr>
            <w:tcW w:w="3940" w:type="dxa"/>
            <w:tcBorders>
              <w:top w:val="nil"/>
              <w:left w:val="nil"/>
              <w:bottom w:val="single" w:sz="4" w:space="0" w:color="auto"/>
              <w:right w:val="single" w:sz="4" w:space="0" w:color="auto"/>
            </w:tcBorders>
            <w:shd w:val="clear" w:color="auto" w:fill="auto"/>
            <w:vAlign w:val="center"/>
          </w:tcPr>
          <w:p w14:paraId="4FDB6078" w14:textId="77777777" w:rsidR="005A6DBB" w:rsidRDefault="00F93099">
            <w:pPr>
              <w:spacing w:line="240" w:lineRule="auto"/>
              <w:jc w:val="left"/>
              <w:rPr>
                <w:rFonts w:cs="Calibri"/>
                <w:color w:val="000000"/>
                <w:sz w:val="16"/>
                <w:szCs w:val="16"/>
              </w:rPr>
            </w:pPr>
            <w:r>
              <w:rPr>
                <w:rFonts w:cs="Calibri"/>
                <w:color w:val="000000"/>
                <w:sz w:val="16"/>
                <w:szCs w:val="16"/>
              </w:rPr>
              <w:t>Capital Expenditure Budget Implementation Indicator</w:t>
            </w:r>
          </w:p>
        </w:tc>
        <w:tc>
          <w:tcPr>
            <w:tcW w:w="836" w:type="dxa"/>
            <w:tcBorders>
              <w:top w:val="nil"/>
              <w:left w:val="nil"/>
              <w:bottom w:val="single" w:sz="4" w:space="0" w:color="auto"/>
              <w:right w:val="single" w:sz="4" w:space="0" w:color="auto"/>
            </w:tcBorders>
            <w:shd w:val="clear" w:color="000000" w:fill="FFFFFF"/>
            <w:noWrap/>
            <w:vAlign w:val="center"/>
          </w:tcPr>
          <w:p w14:paraId="2E10BBF4" w14:textId="77777777" w:rsidR="005A6DBB" w:rsidRDefault="00F93099">
            <w:pPr>
              <w:spacing w:line="240" w:lineRule="auto"/>
              <w:jc w:val="center"/>
              <w:rPr>
                <w:rFonts w:cs="Calibri"/>
                <w:color w:val="000000"/>
                <w:sz w:val="16"/>
                <w:szCs w:val="16"/>
              </w:rPr>
            </w:pPr>
            <w:r>
              <w:rPr>
                <w:rFonts w:cs="Calibri"/>
                <w:color w:val="000000"/>
                <w:sz w:val="16"/>
                <w:szCs w:val="16"/>
              </w:rPr>
              <w:t>95% - 100%</w:t>
            </w:r>
          </w:p>
        </w:tc>
        <w:tc>
          <w:tcPr>
            <w:tcW w:w="1244" w:type="dxa"/>
            <w:tcBorders>
              <w:top w:val="single" w:sz="4" w:space="0" w:color="auto"/>
              <w:left w:val="single" w:sz="4" w:space="0" w:color="auto"/>
              <w:bottom w:val="single" w:sz="4" w:space="0" w:color="auto"/>
              <w:right w:val="single" w:sz="4" w:space="0" w:color="auto"/>
            </w:tcBorders>
            <w:shd w:val="clear" w:color="000000" w:fill="00B050"/>
            <w:noWrap/>
            <w:vAlign w:val="center"/>
          </w:tcPr>
          <w:p w14:paraId="530749BE" w14:textId="77777777" w:rsidR="005A6DBB" w:rsidRDefault="00F93099">
            <w:pPr>
              <w:spacing w:line="240" w:lineRule="auto"/>
              <w:jc w:val="center"/>
              <w:rPr>
                <w:rFonts w:cs="Calibri"/>
                <w:color w:val="FFFFFF"/>
                <w:sz w:val="16"/>
                <w:szCs w:val="16"/>
              </w:rPr>
            </w:pPr>
            <w:r>
              <w:rPr>
                <w:rFonts w:cs="Calibri"/>
                <w:color w:val="FFFFFF"/>
                <w:sz w:val="16"/>
                <w:szCs w:val="16"/>
              </w:rPr>
              <w:t>100.00%</w:t>
            </w:r>
          </w:p>
        </w:tc>
        <w:tc>
          <w:tcPr>
            <w:tcW w:w="1244" w:type="dxa"/>
            <w:tcBorders>
              <w:top w:val="single" w:sz="4" w:space="0" w:color="auto"/>
              <w:left w:val="nil"/>
              <w:bottom w:val="single" w:sz="4" w:space="0" w:color="auto"/>
              <w:right w:val="single" w:sz="4" w:space="0" w:color="auto"/>
            </w:tcBorders>
            <w:shd w:val="clear" w:color="auto" w:fill="FF0000"/>
            <w:noWrap/>
            <w:vAlign w:val="center"/>
          </w:tcPr>
          <w:p w14:paraId="59A4F083" w14:textId="77777777" w:rsidR="005A6DBB" w:rsidRDefault="00F93099">
            <w:pPr>
              <w:spacing w:line="240" w:lineRule="auto"/>
              <w:jc w:val="center"/>
              <w:rPr>
                <w:rFonts w:cs="Calibri"/>
                <w:color w:val="FFFFFF"/>
                <w:sz w:val="16"/>
                <w:szCs w:val="16"/>
              </w:rPr>
            </w:pPr>
            <w:r>
              <w:rPr>
                <w:rFonts w:cs="Calibri"/>
                <w:color w:val="FFFFFF"/>
                <w:sz w:val="16"/>
                <w:szCs w:val="16"/>
              </w:rPr>
              <w:t>80.60%</w:t>
            </w:r>
          </w:p>
        </w:tc>
        <w:tc>
          <w:tcPr>
            <w:tcW w:w="1248" w:type="dxa"/>
            <w:tcBorders>
              <w:top w:val="single" w:sz="4" w:space="0" w:color="auto"/>
              <w:left w:val="nil"/>
              <w:bottom w:val="single" w:sz="4" w:space="0" w:color="auto"/>
              <w:right w:val="single" w:sz="4" w:space="0" w:color="auto"/>
            </w:tcBorders>
            <w:shd w:val="clear" w:color="auto" w:fill="FF0000"/>
            <w:noWrap/>
            <w:vAlign w:val="center"/>
          </w:tcPr>
          <w:p w14:paraId="27ABC069" w14:textId="77777777" w:rsidR="005A6DBB" w:rsidRDefault="00F93099">
            <w:pPr>
              <w:spacing w:line="240" w:lineRule="auto"/>
              <w:jc w:val="center"/>
              <w:rPr>
                <w:rFonts w:cs="Calibri"/>
                <w:color w:val="FFFFFF"/>
                <w:sz w:val="16"/>
                <w:szCs w:val="16"/>
              </w:rPr>
            </w:pPr>
            <w:r>
              <w:rPr>
                <w:rFonts w:cs="Calibri"/>
                <w:color w:val="FFFFFF"/>
                <w:sz w:val="16"/>
                <w:szCs w:val="16"/>
              </w:rPr>
              <w:t>46.23%</w:t>
            </w:r>
          </w:p>
        </w:tc>
        <w:tc>
          <w:tcPr>
            <w:tcW w:w="1185" w:type="dxa"/>
            <w:tcBorders>
              <w:top w:val="nil"/>
              <w:left w:val="nil"/>
              <w:bottom w:val="single" w:sz="4" w:space="0" w:color="auto"/>
              <w:right w:val="single" w:sz="4" w:space="0" w:color="auto"/>
            </w:tcBorders>
            <w:shd w:val="clear" w:color="auto" w:fill="D9D9D9" w:themeFill="background1" w:themeFillShade="D9"/>
            <w:noWrap/>
            <w:vAlign w:val="center"/>
          </w:tcPr>
          <w:p w14:paraId="0301486D"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63442DA0"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49973D86" w14:textId="77777777" w:rsidR="005A6DBB" w:rsidRDefault="005A6DBB">
            <w:pPr>
              <w:spacing w:line="240" w:lineRule="auto"/>
              <w:jc w:val="center"/>
              <w:rPr>
                <w:rFonts w:cs="Calibri"/>
                <w:color w:val="FFFFFF"/>
                <w:sz w:val="16"/>
                <w:szCs w:val="16"/>
              </w:rPr>
            </w:pPr>
          </w:p>
        </w:tc>
      </w:tr>
      <w:tr w:rsidR="005A6DBB" w14:paraId="491EF829"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F3E17F1" w14:textId="77777777" w:rsidR="005A6DBB" w:rsidRDefault="00F93099">
            <w:pPr>
              <w:spacing w:line="240" w:lineRule="auto"/>
              <w:jc w:val="center"/>
              <w:rPr>
                <w:rFonts w:cs="Calibri"/>
                <w:color w:val="000000"/>
                <w:sz w:val="16"/>
                <w:szCs w:val="16"/>
              </w:rPr>
            </w:pPr>
            <w:r>
              <w:rPr>
                <w:rFonts w:cs="Calibri"/>
                <w:color w:val="000000"/>
                <w:sz w:val="16"/>
                <w:szCs w:val="16"/>
              </w:rPr>
              <w:t>2</w:t>
            </w:r>
          </w:p>
        </w:tc>
        <w:tc>
          <w:tcPr>
            <w:tcW w:w="3940" w:type="dxa"/>
            <w:tcBorders>
              <w:top w:val="nil"/>
              <w:left w:val="nil"/>
              <w:bottom w:val="single" w:sz="4" w:space="0" w:color="auto"/>
              <w:right w:val="single" w:sz="4" w:space="0" w:color="auto"/>
            </w:tcBorders>
            <w:shd w:val="clear" w:color="auto" w:fill="auto"/>
            <w:vAlign w:val="center"/>
          </w:tcPr>
          <w:p w14:paraId="1C294DAC" w14:textId="77777777" w:rsidR="005A6DBB" w:rsidRDefault="00F93099">
            <w:pPr>
              <w:spacing w:line="240" w:lineRule="auto"/>
              <w:jc w:val="left"/>
              <w:rPr>
                <w:rFonts w:cs="Calibri"/>
                <w:color w:val="000000"/>
                <w:sz w:val="16"/>
                <w:szCs w:val="16"/>
              </w:rPr>
            </w:pPr>
            <w:r>
              <w:rPr>
                <w:rFonts w:cs="Calibri"/>
                <w:color w:val="000000"/>
                <w:sz w:val="16"/>
                <w:szCs w:val="16"/>
              </w:rPr>
              <w:t>Operating Expenditure Budget Implementation Indicator</w:t>
            </w:r>
          </w:p>
        </w:tc>
        <w:tc>
          <w:tcPr>
            <w:tcW w:w="836" w:type="dxa"/>
            <w:tcBorders>
              <w:top w:val="nil"/>
              <w:left w:val="nil"/>
              <w:bottom w:val="single" w:sz="4" w:space="0" w:color="auto"/>
              <w:right w:val="single" w:sz="4" w:space="0" w:color="auto"/>
            </w:tcBorders>
            <w:shd w:val="clear" w:color="000000" w:fill="FFFFFF"/>
            <w:noWrap/>
            <w:vAlign w:val="center"/>
          </w:tcPr>
          <w:p w14:paraId="77958025" w14:textId="77777777" w:rsidR="005A6DBB" w:rsidRDefault="00F93099">
            <w:pPr>
              <w:spacing w:line="240" w:lineRule="auto"/>
              <w:jc w:val="center"/>
              <w:rPr>
                <w:rFonts w:cs="Calibri"/>
                <w:color w:val="000000"/>
                <w:sz w:val="16"/>
                <w:szCs w:val="16"/>
              </w:rPr>
            </w:pPr>
            <w:r>
              <w:rPr>
                <w:rFonts w:cs="Calibri"/>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3D620247" w14:textId="77777777" w:rsidR="005A6DBB" w:rsidRDefault="00F93099">
            <w:pPr>
              <w:spacing w:line="240" w:lineRule="auto"/>
              <w:jc w:val="center"/>
              <w:rPr>
                <w:rFonts w:cs="Calibri"/>
                <w:color w:val="FFFFFF"/>
                <w:sz w:val="16"/>
                <w:szCs w:val="16"/>
              </w:rPr>
            </w:pPr>
            <w:r>
              <w:rPr>
                <w:rFonts w:cs="Calibri"/>
                <w:color w:val="FFFFFF"/>
                <w:sz w:val="16"/>
                <w:szCs w:val="16"/>
              </w:rPr>
              <w:t>103.99%</w:t>
            </w:r>
          </w:p>
        </w:tc>
        <w:tc>
          <w:tcPr>
            <w:tcW w:w="1244" w:type="dxa"/>
            <w:tcBorders>
              <w:top w:val="nil"/>
              <w:left w:val="nil"/>
              <w:bottom w:val="single" w:sz="4" w:space="0" w:color="auto"/>
              <w:right w:val="single" w:sz="4" w:space="0" w:color="auto"/>
            </w:tcBorders>
            <w:shd w:val="clear" w:color="auto" w:fill="FF0000"/>
            <w:noWrap/>
            <w:vAlign w:val="center"/>
          </w:tcPr>
          <w:p w14:paraId="73FE3AED" w14:textId="77777777" w:rsidR="005A6DBB" w:rsidRDefault="00F93099">
            <w:pPr>
              <w:spacing w:line="240" w:lineRule="auto"/>
              <w:jc w:val="center"/>
              <w:rPr>
                <w:rFonts w:cs="Calibri"/>
                <w:color w:val="FFFFFF"/>
                <w:sz w:val="16"/>
                <w:szCs w:val="16"/>
              </w:rPr>
            </w:pPr>
            <w:r>
              <w:rPr>
                <w:rFonts w:cs="Calibri"/>
                <w:color w:val="FFFFFF"/>
                <w:sz w:val="16"/>
                <w:szCs w:val="16"/>
              </w:rPr>
              <w:t>106.48%</w:t>
            </w:r>
          </w:p>
        </w:tc>
        <w:tc>
          <w:tcPr>
            <w:tcW w:w="1248" w:type="dxa"/>
            <w:tcBorders>
              <w:top w:val="nil"/>
              <w:left w:val="nil"/>
              <w:bottom w:val="single" w:sz="4" w:space="0" w:color="auto"/>
              <w:right w:val="single" w:sz="4" w:space="0" w:color="auto"/>
            </w:tcBorders>
            <w:shd w:val="clear" w:color="auto" w:fill="FF0000"/>
            <w:noWrap/>
            <w:vAlign w:val="center"/>
          </w:tcPr>
          <w:p w14:paraId="7B278DD4" w14:textId="77777777" w:rsidR="005A6DBB" w:rsidRDefault="00F93099">
            <w:pPr>
              <w:spacing w:line="240" w:lineRule="auto"/>
              <w:jc w:val="center"/>
              <w:rPr>
                <w:rFonts w:cs="Calibri"/>
                <w:color w:val="FFFFFF"/>
                <w:sz w:val="16"/>
                <w:szCs w:val="16"/>
              </w:rPr>
            </w:pPr>
            <w:r>
              <w:rPr>
                <w:rFonts w:cs="Calibri"/>
                <w:color w:val="FFFFFF"/>
                <w:sz w:val="16"/>
                <w:szCs w:val="16"/>
              </w:rPr>
              <w:t>124.93%</w:t>
            </w:r>
          </w:p>
        </w:tc>
        <w:tc>
          <w:tcPr>
            <w:tcW w:w="1185" w:type="dxa"/>
            <w:tcBorders>
              <w:top w:val="nil"/>
              <w:left w:val="nil"/>
              <w:bottom w:val="single" w:sz="4" w:space="0" w:color="auto"/>
              <w:right w:val="single" w:sz="4" w:space="0" w:color="auto"/>
            </w:tcBorders>
            <w:shd w:val="clear" w:color="auto" w:fill="D9D9D9" w:themeFill="background1" w:themeFillShade="D9"/>
            <w:noWrap/>
            <w:vAlign w:val="center"/>
          </w:tcPr>
          <w:p w14:paraId="37790869"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39446A81"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10B69FD9" w14:textId="77777777" w:rsidR="005A6DBB" w:rsidRDefault="005A6DBB">
            <w:pPr>
              <w:spacing w:line="240" w:lineRule="auto"/>
              <w:jc w:val="center"/>
              <w:rPr>
                <w:rFonts w:cs="Calibri"/>
                <w:color w:val="FFFFFF"/>
                <w:sz w:val="16"/>
                <w:szCs w:val="16"/>
              </w:rPr>
            </w:pPr>
          </w:p>
        </w:tc>
      </w:tr>
      <w:tr w:rsidR="005A6DBB" w14:paraId="045FC0FC" w14:textId="77777777">
        <w:trPr>
          <w:trHeight w:val="312"/>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44231CCE" w14:textId="77777777" w:rsidR="005A6DBB" w:rsidRDefault="00F93099">
            <w:pPr>
              <w:spacing w:line="240" w:lineRule="auto"/>
              <w:jc w:val="center"/>
              <w:rPr>
                <w:rFonts w:cs="Calibri"/>
                <w:color w:val="000000"/>
                <w:sz w:val="16"/>
                <w:szCs w:val="16"/>
              </w:rPr>
            </w:pPr>
            <w:r>
              <w:rPr>
                <w:rFonts w:cs="Calibri"/>
                <w:color w:val="000000"/>
                <w:sz w:val="16"/>
                <w:szCs w:val="16"/>
              </w:rPr>
              <w:t>3</w:t>
            </w:r>
          </w:p>
        </w:tc>
        <w:tc>
          <w:tcPr>
            <w:tcW w:w="3940" w:type="dxa"/>
            <w:tcBorders>
              <w:top w:val="nil"/>
              <w:left w:val="nil"/>
              <w:bottom w:val="single" w:sz="4" w:space="0" w:color="auto"/>
              <w:right w:val="single" w:sz="4" w:space="0" w:color="auto"/>
            </w:tcBorders>
            <w:shd w:val="clear" w:color="auto" w:fill="auto"/>
            <w:vAlign w:val="center"/>
          </w:tcPr>
          <w:p w14:paraId="1214D17F" w14:textId="77777777" w:rsidR="005A6DBB" w:rsidRDefault="00F93099">
            <w:pPr>
              <w:spacing w:line="240" w:lineRule="auto"/>
              <w:jc w:val="left"/>
              <w:rPr>
                <w:rFonts w:cs="Calibri"/>
                <w:color w:val="000000"/>
                <w:sz w:val="16"/>
                <w:szCs w:val="16"/>
              </w:rPr>
            </w:pPr>
            <w:r>
              <w:rPr>
                <w:rFonts w:cs="Calibri"/>
                <w:color w:val="000000"/>
                <w:sz w:val="16"/>
                <w:szCs w:val="16"/>
              </w:rPr>
              <w:t xml:space="preserve">Operating Revenue Budget Implementation Indicator </w:t>
            </w:r>
          </w:p>
        </w:tc>
        <w:tc>
          <w:tcPr>
            <w:tcW w:w="836" w:type="dxa"/>
            <w:tcBorders>
              <w:top w:val="nil"/>
              <w:left w:val="nil"/>
              <w:bottom w:val="single" w:sz="4" w:space="0" w:color="auto"/>
              <w:right w:val="single" w:sz="4" w:space="0" w:color="auto"/>
            </w:tcBorders>
            <w:shd w:val="clear" w:color="000000" w:fill="FFFFFF"/>
            <w:noWrap/>
            <w:vAlign w:val="center"/>
          </w:tcPr>
          <w:p w14:paraId="43B5B3A1" w14:textId="77777777" w:rsidR="005A6DBB" w:rsidRDefault="00F93099">
            <w:pPr>
              <w:spacing w:line="240" w:lineRule="auto"/>
              <w:jc w:val="center"/>
              <w:rPr>
                <w:rFonts w:cs="Calibri"/>
                <w:color w:val="000000"/>
                <w:sz w:val="16"/>
                <w:szCs w:val="16"/>
              </w:rPr>
            </w:pPr>
            <w:r>
              <w:rPr>
                <w:rFonts w:cs="Calibri"/>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FF0000"/>
            <w:noWrap/>
            <w:vAlign w:val="center"/>
          </w:tcPr>
          <w:p w14:paraId="2CB8EDB3" w14:textId="77777777" w:rsidR="005A6DBB" w:rsidRDefault="00F93099">
            <w:pPr>
              <w:spacing w:line="240" w:lineRule="auto"/>
              <w:jc w:val="center"/>
              <w:rPr>
                <w:rFonts w:cs="Calibri"/>
                <w:color w:val="FFFFFF"/>
                <w:sz w:val="16"/>
                <w:szCs w:val="16"/>
              </w:rPr>
            </w:pPr>
            <w:r>
              <w:rPr>
                <w:rFonts w:cs="Calibri"/>
                <w:color w:val="FFFFFF"/>
                <w:sz w:val="16"/>
                <w:szCs w:val="16"/>
              </w:rPr>
              <w:t>106.11%</w:t>
            </w:r>
          </w:p>
        </w:tc>
        <w:tc>
          <w:tcPr>
            <w:tcW w:w="1244" w:type="dxa"/>
            <w:tcBorders>
              <w:top w:val="nil"/>
              <w:left w:val="nil"/>
              <w:bottom w:val="single" w:sz="4" w:space="0" w:color="auto"/>
              <w:right w:val="single" w:sz="4" w:space="0" w:color="auto"/>
            </w:tcBorders>
            <w:shd w:val="clear" w:color="auto" w:fill="FF0000"/>
            <w:noWrap/>
            <w:vAlign w:val="center"/>
          </w:tcPr>
          <w:p w14:paraId="4D83A712" w14:textId="77777777" w:rsidR="005A6DBB" w:rsidRDefault="00F93099">
            <w:pPr>
              <w:spacing w:line="240" w:lineRule="auto"/>
              <w:jc w:val="center"/>
              <w:rPr>
                <w:rFonts w:cs="Calibri"/>
                <w:color w:val="FFFFFF"/>
                <w:sz w:val="16"/>
                <w:szCs w:val="16"/>
              </w:rPr>
            </w:pPr>
            <w:r>
              <w:rPr>
                <w:rFonts w:cs="Calibri"/>
                <w:color w:val="FFFFFF"/>
                <w:sz w:val="16"/>
                <w:szCs w:val="16"/>
              </w:rPr>
              <w:t>107.98%</w:t>
            </w:r>
          </w:p>
        </w:tc>
        <w:tc>
          <w:tcPr>
            <w:tcW w:w="1248" w:type="dxa"/>
            <w:tcBorders>
              <w:top w:val="nil"/>
              <w:left w:val="nil"/>
              <w:bottom w:val="single" w:sz="4" w:space="0" w:color="auto"/>
              <w:right w:val="single" w:sz="4" w:space="0" w:color="auto"/>
            </w:tcBorders>
            <w:shd w:val="clear" w:color="auto" w:fill="FF0000"/>
            <w:noWrap/>
            <w:vAlign w:val="center"/>
          </w:tcPr>
          <w:p w14:paraId="4EAD3C79" w14:textId="77777777" w:rsidR="005A6DBB" w:rsidRDefault="00F93099">
            <w:pPr>
              <w:spacing w:line="240" w:lineRule="auto"/>
              <w:jc w:val="center"/>
              <w:rPr>
                <w:rFonts w:cs="Calibri"/>
                <w:color w:val="FFFFFF"/>
                <w:sz w:val="16"/>
                <w:szCs w:val="16"/>
              </w:rPr>
            </w:pPr>
            <w:r>
              <w:rPr>
                <w:rFonts w:cs="Calibri"/>
                <w:color w:val="FFFFFF"/>
                <w:sz w:val="16"/>
                <w:szCs w:val="16"/>
              </w:rPr>
              <w:t>104.57%</w:t>
            </w:r>
          </w:p>
        </w:tc>
        <w:tc>
          <w:tcPr>
            <w:tcW w:w="1185" w:type="dxa"/>
            <w:tcBorders>
              <w:top w:val="nil"/>
              <w:left w:val="nil"/>
              <w:bottom w:val="single" w:sz="4" w:space="0" w:color="auto"/>
              <w:right w:val="single" w:sz="4" w:space="0" w:color="auto"/>
            </w:tcBorders>
            <w:shd w:val="clear" w:color="000000" w:fill="D9D9D9"/>
            <w:noWrap/>
            <w:vAlign w:val="center"/>
          </w:tcPr>
          <w:p w14:paraId="66F5CD1D"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7ECAC598"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440B6648" w14:textId="77777777" w:rsidR="005A6DBB" w:rsidRDefault="005A6DBB">
            <w:pPr>
              <w:spacing w:line="240" w:lineRule="auto"/>
              <w:jc w:val="center"/>
              <w:rPr>
                <w:rFonts w:cs="Calibri"/>
                <w:color w:val="FFFFFF"/>
                <w:sz w:val="16"/>
                <w:szCs w:val="16"/>
              </w:rPr>
            </w:pPr>
          </w:p>
        </w:tc>
      </w:tr>
      <w:tr w:rsidR="005A6DBB" w14:paraId="655CC5F7" w14:textId="77777777">
        <w:trPr>
          <w:trHeight w:val="408"/>
        </w:trPr>
        <w:tc>
          <w:tcPr>
            <w:tcW w:w="1793" w:type="dxa"/>
            <w:tcBorders>
              <w:top w:val="nil"/>
              <w:left w:val="single" w:sz="4" w:space="0" w:color="auto"/>
              <w:bottom w:val="single" w:sz="4" w:space="0" w:color="auto"/>
              <w:right w:val="single" w:sz="4" w:space="0" w:color="auto"/>
            </w:tcBorders>
            <w:shd w:val="clear" w:color="auto" w:fill="auto"/>
            <w:noWrap/>
            <w:vAlign w:val="center"/>
          </w:tcPr>
          <w:p w14:paraId="687B3B71" w14:textId="77777777" w:rsidR="005A6DBB" w:rsidRDefault="00F93099">
            <w:pPr>
              <w:spacing w:line="240" w:lineRule="auto"/>
              <w:jc w:val="center"/>
              <w:rPr>
                <w:rFonts w:cs="Calibri"/>
                <w:color w:val="000000"/>
                <w:sz w:val="16"/>
                <w:szCs w:val="16"/>
              </w:rPr>
            </w:pPr>
            <w:r>
              <w:rPr>
                <w:rFonts w:cs="Calibri"/>
                <w:color w:val="000000"/>
                <w:sz w:val="16"/>
                <w:szCs w:val="16"/>
              </w:rPr>
              <w:t>4</w:t>
            </w:r>
          </w:p>
        </w:tc>
        <w:tc>
          <w:tcPr>
            <w:tcW w:w="3940" w:type="dxa"/>
            <w:tcBorders>
              <w:top w:val="nil"/>
              <w:left w:val="nil"/>
              <w:bottom w:val="single" w:sz="4" w:space="0" w:color="auto"/>
              <w:right w:val="single" w:sz="4" w:space="0" w:color="auto"/>
            </w:tcBorders>
            <w:shd w:val="clear" w:color="auto" w:fill="auto"/>
            <w:vAlign w:val="center"/>
          </w:tcPr>
          <w:p w14:paraId="5AA44B38" w14:textId="77777777" w:rsidR="005A6DBB" w:rsidRDefault="00F93099">
            <w:pPr>
              <w:spacing w:line="240" w:lineRule="auto"/>
              <w:jc w:val="left"/>
              <w:rPr>
                <w:rFonts w:cs="Calibri"/>
                <w:color w:val="000000"/>
                <w:sz w:val="16"/>
                <w:szCs w:val="16"/>
              </w:rPr>
            </w:pPr>
            <w:r>
              <w:rPr>
                <w:rFonts w:cs="Calibri"/>
                <w:color w:val="000000"/>
                <w:sz w:val="16"/>
                <w:szCs w:val="16"/>
              </w:rPr>
              <w:t>Service Charges and Property Rates Revenue Budget Implementation Indicator</w:t>
            </w:r>
          </w:p>
        </w:tc>
        <w:tc>
          <w:tcPr>
            <w:tcW w:w="836" w:type="dxa"/>
            <w:tcBorders>
              <w:top w:val="nil"/>
              <w:left w:val="nil"/>
              <w:bottom w:val="single" w:sz="4" w:space="0" w:color="auto"/>
              <w:right w:val="single" w:sz="4" w:space="0" w:color="auto"/>
            </w:tcBorders>
            <w:shd w:val="clear" w:color="000000" w:fill="FFFFFF"/>
            <w:noWrap/>
            <w:vAlign w:val="center"/>
          </w:tcPr>
          <w:p w14:paraId="6BE69622" w14:textId="77777777" w:rsidR="005A6DBB" w:rsidRDefault="00F93099">
            <w:pPr>
              <w:spacing w:line="240" w:lineRule="auto"/>
              <w:jc w:val="center"/>
              <w:rPr>
                <w:rFonts w:cs="Calibri"/>
                <w:color w:val="000000"/>
                <w:sz w:val="16"/>
                <w:szCs w:val="16"/>
              </w:rPr>
            </w:pPr>
            <w:r>
              <w:rPr>
                <w:rFonts w:cs="Calibri"/>
                <w:color w:val="000000"/>
                <w:sz w:val="16"/>
                <w:szCs w:val="16"/>
              </w:rPr>
              <w:t>95% - 100%</w:t>
            </w:r>
          </w:p>
        </w:tc>
        <w:tc>
          <w:tcPr>
            <w:tcW w:w="1244" w:type="dxa"/>
            <w:tcBorders>
              <w:top w:val="nil"/>
              <w:left w:val="single" w:sz="4" w:space="0" w:color="auto"/>
              <w:bottom w:val="single" w:sz="4" w:space="0" w:color="auto"/>
              <w:right w:val="single" w:sz="4" w:space="0" w:color="auto"/>
            </w:tcBorders>
            <w:shd w:val="clear" w:color="auto" w:fill="00B050"/>
            <w:noWrap/>
            <w:vAlign w:val="center"/>
          </w:tcPr>
          <w:p w14:paraId="081A7AAF" w14:textId="77777777" w:rsidR="005A6DBB" w:rsidRDefault="00F93099">
            <w:pPr>
              <w:spacing w:line="240" w:lineRule="auto"/>
              <w:jc w:val="center"/>
              <w:rPr>
                <w:rFonts w:cs="Calibri"/>
                <w:color w:val="FFFFFF"/>
                <w:sz w:val="16"/>
                <w:szCs w:val="16"/>
              </w:rPr>
            </w:pPr>
            <w:r>
              <w:rPr>
                <w:rFonts w:cs="Calibri"/>
                <w:color w:val="FFFFFF"/>
                <w:sz w:val="16"/>
                <w:szCs w:val="16"/>
              </w:rPr>
              <w:t>94.50%</w:t>
            </w:r>
          </w:p>
        </w:tc>
        <w:tc>
          <w:tcPr>
            <w:tcW w:w="1244" w:type="dxa"/>
            <w:tcBorders>
              <w:top w:val="nil"/>
              <w:left w:val="nil"/>
              <w:bottom w:val="single" w:sz="4" w:space="0" w:color="auto"/>
              <w:right w:val="single" w:sz="4" w:space="0" w:color="auto"/>
            </w:tcBorders>
            <w:shd w:val="clear" w:color="000000" w:fill="00B050"/>
            <w:noWrap/>
            <w:vAlign w:val="center"/>
          </w:tcPr>
          <w:p w14:paraId="7AE14770" w14:textId="77777777" w:rsidR="005A6DBB" w:rsidRDefault="00F93099">
            <w:pPr>
              <w:spacing w:line="240" w:lineRule="auto"/>
              <w:jc w:val="center"/>
              <w:rPr>
                <w:rFonts w:cs="Calibri"/>
                <w:color w:val="FFFFFF"/>
                <w:sz w:val="16"/>
                <w:szCs w:val="16"/>
              </w:rPr>
            </w:pPr>
            <w:r>
              <w:rPr>
                <w:rFonts w:cs="Calibri"/>
                <w:color w:val="FFFFFF"/>
                <w:sz w:val="16"/>
                <w:szCs w:val="16"/>
              </w:rPr>
              <w:t>98.45%</w:t>
            </w:r>
          </w:p>
        </w:tc>
        <w:tc>
          <w:tcPr>
            <w:tcW w:w="1248" w:type="dxa"/>
            <w:tcBorders>
              <w:top w:val="nil"/>
              <w:left w:val="nil"/>
              <w:bottom w:val="single" w:sz="4" w:space="0" w:color="auto"/>
              <w:right w:val="single" w:sz="4" w:space="0" w:color="auto"/>
            </w:tcBorders>
            <w:shd w:val="clear" w:color="auto" w:fill="FF0000"/>
            <w:noWrap/>
            <w:vAlign w:val="center"/>
          </w:tcPr>
          <w:p w14:paraId="2F7E98E9" w14:textId="77777777" w:rsidR="005A6DBB" w:rsidRDefault="00F93099">
            <w:pPr>
              <w:spacing w:line="240" w:lineRule="auto"/>
              <w:jc w:val="center"/>
              <w:rPr>
                <w:rFonts w:cs="Calibri"/>
                <w:color w:val="FFFFFF"/>
                <w:sz w:val="16"/>
                <w:szCs w:val="16"/>
              </w:rPr>
            </w:pPr>
            <w:r>
              <w:rPr>
                <w:rFonts w:cs="Calibri"/>
                <w:color w:val="FFFFFF"/>
                <w:sz w:val="16"/>
                <w:szCs w:val="16"/>
              </w:rPr>
              <w:t>92.39%</w:t>
            </w:r>
          </w:p>
        </w:tc>
        <w:tc>
          <w:tcPr>
            <w:tcW w:w="1185" w:type="dxa"/>
            <w:tcBorders>
              <w:top w:val="nil"/>
              <w:left w:val="nil"/>
              <w:bottom w:val="single" w:sz="4" w:space="0" w:color="auto"/>
              <w:right w:val="single" w:sz="4" w:space="0" w:color="auto"/>
            </w:tcBorders>
            <w:shd w:val="clear" w:color="000000" w:fill="D9D9D9"/>
            <w:noWrap/>
            <w:vAlign w:val="center"/>
          </w:tcPr>
          <w:p w14:paraId="26BCFAFD" w14:textId="77777777" w:rsidR="005A6DBB" w:rsidRDefault="005A6DBB">
            <w:pPr>
              <w:spacing w:line="240" w:lineRule="auto"/>
              <w:jc w:val="center"/>
              <w:rPr>
                <w:rFonts w:cs="Calibri"/>
                <w:color w:val="FFFFFF"/>
                <w:sz w:val="16"/>
                <w:szCs w:val="16"/>
              </w:rPr>
            </w:pPr>
          </w:p>
        </w:tc>
        <w:tc>
          <w:tcPr>
            <w:tcW w:w="1185" w:type="dxa"/>
            <w:tcBorders>
              <w:top w:val="nil"/>
              <w:left w:val="nil"/>
              <w:bottom w:val="single" w:sz="4" w:space="0" w:color="auto"/>
              <w:right w:val="single" w:sz="4" w:space="0" w:color="auto"/>
            </w:tcBorders>
            <w:shd w:val="clear" w:color="000000" w:fill="D9D9D9"/>
            <w:noWrap/>
            <w:vAlign w:val="center"/>
          </w:tcPr>
          <w:p w14:paraId="3AF5754E" w14:textId="77777777" w:rsidR="005A6DBB" w:rsidRDefault="005A6DBB">
            <w:pPr>
              <w:spacing w:line="240" w:lineRule="auto"/>
              <w:jc w:val="center"/>
              <w:rPr>
                <w:rFonts w:cs="Calibri"/>
                <w:color w:val="FFFFFF"/>
                <w:sz w:val="16"/>
                <w:szCs w:val="16"/>
              </w:rPr>
            </w:pPr>
          </w:p>
        </w:tc>
        <w:tc>
          <w:tcPr>
            <w:tcW w:w="1212" w:type="dxa"/>
            <w:tcBorders>
              <w:top w:val="nil"/>
              <w:left w:val="nil"/>
              <w:bottom w:val="single" w:sz="4" w:space="0" w:color="auto"/>
              <w:right w:val="single" w:sz="4" w:space="0" w:color="auto"/>
            </w:tcBorders>
            <w:shd w:val="clear" w:color="000000" w:fill="D9D9D9"/>
            <w:noWrap/>
            <w:vAlign w:val="center"/>
          </w:tcPr>
          <w:p w14:paraId="75A2106B" w14:textId="77777777" w:rsidR="005A6DBB" w:rsidRDefault="005A6DBB">
            <w:pPr>
              <w:spacing w:line="240" w:lineRule="auto"/>
              <w:jc w:val="center"/>
              <w:rPr>
                <w:rFonts w:cs="Calibri"/>
                <w:color w:val="FFFFFF"/>
                <w:sz w:val="16"/>
                <w:szCs w:val="16"/>
              </w:rPr>
            </w:pPr>
          </w:p>
        </w:tc>
      </w:tr>
    </w:tbl>
    <w:p w14:paraId="3323808E" w14:textId="77777777" w:rsidR="005A6DBB" w:rsidRDefault="005A6DBB"/>
    <w:p w14:paraId="740789AB" w14:textId="77777777" w:rsidR="005A6DBB" w:rsidRDefault="00F93099">
      <w:pPr>
        <w:pStyle w:val="Heading1"/>
        <w:numPr>
          <w:ilvl w:val="0"/>
          <w:numId w:val="1"/>
        </w:numPr>
        <w:pBdr>
          <w:left w:val="single" w:sz="18" w:space="2" w:color="002060"/>
        </w:pBdr>
        <w:spacing w:before="120" w:after="120" w:line="360" w:lineRule="auto"/>
        <w:ind w:left="102" w:right="153" w:firstLine="0"/>
        <w:rPr>
          <w:rFonts w:asciiTheme="minorHAnsi" w:hAnsiTheme="minorHAnsi"/>
        </w:rPr>
      </w:pPr>
      <w:bookmarkStart w:id="152" w:name="_Toc137732247"/>
      <w:r>
        <w:rPr>
          <w:rFonts w:asciiTheme="minorHAnsi" w:hAnsiTheme="minorHAnsi"/>
        </w:rPr>
        <w:t>ANNEXTURE C: FINANCIAL RATIO ANALYSIS</w:t>
      </w:r>
      <w:bookmarkEnd w:id="152"/>
    </w:p>
    <w:tbl>
      <w:tblPr>
        <w:tblStyle w:val="BSWordTable3"/>
        <w:tblpPr w:leftFromText="180" w:rightFromText="180" w:vertAnchor="text" w:tblpY="1"/>
        <w:tblOverlap w:val="never"/>
        <w:tblW w:w="0" w:type="auto"/>
        <w:tblLook w:val="04A0" w:firstRow="1" w:lastRow="0" w:firstColumn="1" w:lastColumn="0" w:noHBand="0" w:noVBand="1"/>
      </w:tblPr>
      <w:tblGrid>
        <w:gridCol w:w="4427"/>
        <w:gridCol w:w="1068"/>
        <w:gridCol w:w="1068"/>
        <w:gridCol w:w="1186"/>
        <w:gridCol w:w="6253"/>
      </w:tblGrid>
      <w:tr w:rsidR="005A6DBB" w14:paraId="037EA68C" w14:textId="77777777" w:rsidTr="005A6DBB">
        <w:trPr>
          <w:cnfStyle w:val="100000000000" w:firstRow="1" w:lastRow="0" w:firstColumn="0" w:lastColumn="0" w:oddVBand="0" w:evenVBand="0" w:oddHBand="0" w:evenHBand="0" w:firstRowFirstColumn="0" w:firstRowLastColumn="0" w:lastRowFirstColumn="0" w:lastRowLastColumn="0"/>
          <w:trHeight w:val="570"/>
        </w:trPr>
        <w:tc>
          <w:tcPr>
            <w:tcW w:w="0" w:type="auto"/>
            <w:tcBorders>
              <w:right w:val="single" w:sz="2" w:space="0" w:color="FFFFFF"/>
            </w:tcBorders>
            <w:shd w:val="clear" w:color="auto" w:fill="002060"/>
          </w:tcPr>
          <w:p w14:paraId="60396D44"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Ratio</w:t>
            </w:r>
          </w:p>
        </w:tc>
        <w:tc>
          <w:tcPr>
            <w:tcW w:w="0" w:type="auto"/>
            <w:tcBorders>
              <w:right w:val="single" w:sz="2" w:space="0" w:color="FFFFFF"/>
            </w:tcBorders>
            <w:shd w:val="clear" w:color="auto" w:fill="002060"/>
          </w:tcPr>
          <w:p w14:paraId="1621A532"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Ratio for 2019/20</w:t>
            </w:r>
          </w:p>
          <w:p w14:paraId="23CB1A53"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Restated</w:t>
            </w:r>
          </w:p>
        </w:tc>
        <w:tc>
          <w:tcPr>
            <w:tcW w:w="0" w:type="auto"/>
            <w:tcBorders>
              <w:right w:val="single" w:sz="2" w:space="0" w:color="FFFFFF"/>
            </w:tcBorders>
            <w:shd w:val="clear" w:color="auto" w:fill="002060"/>
          </w:tcPr>
          <w:p w14:paraId="41BDAD9B"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Ratio for 2020/21</w:t>
            </w:r>
          </w:p>
          <w:p w14:paraId="24B9E9C7"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Restated</w:t>
            </w:r>
          </w:p>
        </w:tc>
        <w:tc>
          <w:tcPr>
            <w:tcW w:w="0" w:type="auto"/>
            <w:tcBorders>
              <w:right w:val="single" w:sz="2" w:space="0" w:color="FFFFFF"/>
            </w:tcBorders>
            <w:shd w:val="clear" w:color="auto" w:fill="002060"/>
          </w:tcPr>
          <w:p w14:paraId="0B4A424D"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Ratio for 2021/22</w:t>
            </w:r>
          </w:p>
          <w:p w14:paraId="3ADE30A1"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Draft</w:t>
            </w:r>
          </w:p>
          <w:p w14:paraId="78FC7437"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Unaudited</w:t>
            </w:r>
          </w:p>
        </w:tc>
        <w:tc>
          <w:tcPr>
            <w:tcW w:w="0" w:type="auto"/>
            <w:shd w:val="clear" w:color="auto" w:fill="002060"/>
          </w:tcPr>
          <w:p w14:paraId="0803591F" w14:textId="77777777" w:rsidR="005A6DBB" w:rsidRDefault="00F93099">
            <w:pPr>
              <w:spacing w:line="276" w:lineRule="auto"/>
              <w:jc w:val="center"/>
              <w:rPr>
                <w:rFonts w:asciiTheme="minorHAnsi" w:hAnsiTheme="minorHAnsi" w:cstheme="minorHAnsi"/>
                <w:b w:val="0"/>
                <w:sz w:val="20"/>
                <w:szCs w:val="20"/>
                <w:lang w:eastAsia="en-ZA"/>
              </w:rPr>
            </w:pPr>
            <w:r>
              <w:rPr>
                <w:rFonts w:asciiTheme="minorHAnsi" w:hAnsiTheme="minorHAnsi" w:cstheme="minorHAnsi"/>
                <w:sz w:val="20"/>
                <w:szCs w:val="20"/>
                <w:lang w:eastAsia="en-ZA"/>
              </w:rPr>
              <w:t>Remarks</w:t>
            </w:r>
          </w:p>
        </w:tc>
      </w:tr>
      <w:tr w:rsidR="005A6DBB" w14:paraId="112AC9C5" w14:textId="77777777" w:rsidTr="005A6DBB">
        <w:trPr>
          <w:trHeight w:val="430"/>
        </w:trPr>
        <w:tc>
          <w:tcPr>
            <w:tcW w:w="0" w:type="auto"/>
            <w:gridSpan w:val="5"/>
            <w:tcBorders>
              <w:top w:val="nil"/>
              <w:left w:val="nil"/>
              <w:bottom w:val="nil"/>
              <w:right w:val="nil"/>
              <w:tl2br w:val="nil"/>
              <w:tr2bl w:val="nil"/>
            </w:tcBorders>
            <w:shd w:val="clear" w:color="auto" w:fill="D4E1ED"/>
          </w:tcPr>
          <w:p w14:paraId="2CC809C0" w14:textId="77777777" w:rsidR="005A6DBB" w:rsidRDefault="00F93099">
            <w:pPr>
              <w:rPr>
                <w:rFonts w:asciiTheme="minorHAnsi" w:hAnsiTheme="minorHAnsi" w:cstheme="minorHAnsi"/>
                <w:b/>
                <w:bCs/>
                <w:color w:val="FFFFFF"/>
                <w:sz w:val="20"/>
                <w:szCs w:val="20"/>
                <w:lang w:eastAsia="en-ZA"/>
              </w:rPr>
            </w:pPr>
            <w:r>
              <w:rPr>
                <w:rFonts w:asciiTheme="minorHAnsi" w:hAnsiTheme="minorHAnsi" w:cstheme="minorHAnsi"/>
                <w:b/>
                <w:bCs/>
                <w:sz w:val="20"/>
                <w:szCs w:val="20"/>
                <w:lang w:eastAsia="en-ZA"/>
              </w:rPr>
              <w:t>FINANCIAL POSITION</w:t>
            </w:r>
          </w:p>
        </w:tc>
      </w:tr>
      <w:tr w:rsidR="005A6DBB" w14:paraId="44766D93" w14:textId="77777777" w:rsidTr="005A6DBB">
        <w:trPr>
          <w:trHeight w:val="430"/>
        </w:trPr>
        <w:tc>
          <w:tcPr>
            <w:tcW w:w="0" w:type="auto"/>
            <w:gridSpan w:val="5"/>
            <w:tcBorders>
              <w:top w:val="nil"/>
              <w:left w:val="nil"/>
              <w:bottom w:val="nil"/>
              <w:right w:val="nil"/>
              <w:tl2br w:val="nil"/>
              <w:tr2bl w:val="nil"/>
            </w:tcBorders>
            <w:shd w:val="clear" w:color="auto" w:fill="BED3E4"/>
          </w:tcPr>
          <w:p w14:paraId="318B34D4" w14:textId="77777777" w:rsidR="005A6DBB" w:rsidRDefault="00F93099">
            <w:pPr>
              <w:rPr>
                <w:rFonts w:asciiTheme="minorHAnsi" w:hAnsiTheme="minorHAnsi" w:cstheme="minorHAnsi"/>
                <w:b/>
                <w:bCs/>
                <w:color w:val="FFFFFF"/>
                <w:sz w:val="20"/>
                <w:szCs w:val="20"/>
                <w:lang w:eastAsia="en-ZA"/>
              </w:rPr>
            </w:pPr>
            <w:r>
              <w:rPr>
                <w:rFonts w:asciiTheme="minorHAnsi" w:hAnsiTheme="minorHAnsi" w:cstheme="minorHAnsi"/>
                <w:b/>
                <w:bCs/>
                <w:sz w:val="20"/>
                <w:szCs w:val="20"/>
                <w:lang w:eastAsia="en-ZA"/>
              </w:rPr>
              <w:t>Asset Management/ Utilisation</w:t>
            </w:r>
          </w:p>
        </w:tc>
      </w:tr>
      <w:tr w:rsidR="005A6DBB" w14:paraId="720823B5"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0E5681F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Capital Expenditure to Total Expenditure – indicates the prioritisation of expenditure towards current operations versus future capacity in terms of Municipal Services.</w:t>
            </w:r>
          </w:p>
          <w:p w14:paraId="27C480E0" w14:textId="77777777" w:rsidR="005A6DBB" w:rsidRDefault="00F93099">
            <w:pPr>
              <w:rPr>
                <w:rFonts w:asciiTheme="minorHAnsi" w:hAnsiTheme="minorHAnsi" w:cstheme="minorHAnsi"/>
                <w:b/>
                <w:sz w:val="20"/>
                <w:szCs w:val="20"/>
                <w:lang w:eastAsia="en-ZA"/>
              </w:rPr>
            </w:pPr>
            <w:r>
              <w:rPr>
                <w:rFonts w:asciiTheme="minorHAnsi" w:hAnsiTheme="minorHAnsi" w:cstheme="minorHAnsi"/>
                <w:b/>
                <w:sz w:val="20"/>
                <w:szCs w:val="20"/>
                <w:lang w:eastAsia="en-ZA"/>
              </w:rPr>
              <w:t>The norm is 10% - 20%.</w:t>
            </w:r>
          </w:p>
        </w:tc>
        <w:tc>
          <w:tcPr>
            <w:tcW w:w="0" w:type="auto"/>
            <w:tcBorders>
              <w:top w:val="nil"/>
              <w:bottom w:val="nil"/>
              <w:right w:val="single" w:sz="2" w:space="0" w:color="FFFFFF"/>
              <w:tl2br w:val="nil"/>
              <w:tr2bl w:val="nil"/>
            </w:tcBorders>
            <w:shd w:val="clear" w:color="auto" w:fill="D4E1ED"/>
          </w:tcPr>
          <w:p w14:paraId="3890E84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5,38%</w:t>
            </w:r>
          </w:p>
          <w:p w14:paraId="2A2C53B3" w14:textId="77777777" w:rsidR="005A6DBB" w:rsidRDefault="005A6DBB">
            <w:pPr>
              <w:jc w:val="center"/>
              <w:rPr>
                <w:rFonts w:asciiTheme="minorHAnsi" w:hAnsiTheme="minorHAnsi" w:cstheme="minorHAnsi"/>
                <w:sz w:val="20"/>
                <w:szCs w:val="20"/>
                <w:lang w:eastAsia="en-ZA"/>
              </w:rPr>
            </w:pPr>
          </w:p>
        </w:tc>
        <w:tc>
          <w:tcPr>
            <w:tcW w:w="0" w:type="auto"/>
            <w:tcBorders>
              <w:top w:val="nil"/>
              <w:bottom w:val="nil"/>
              <w:right w:val="single" w:sz="2" w:space="0" w:color="FFFFFF"/>
              <w:tl2br w:val="nil"/>
              <w:tr2bl w:val="nil"/>
            </w:tcBorders>
            <w:shd w:val="clear" w:color="auto" w:fill="D4E1ED"/>
          </w:tcPr>
          <w:p w14:paraId="0193B453"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7,95%</w:t>
            </w:r>
          </w:p>
        </w:tc>
        <w:tc>
          <w:tcPr>
            <w:tcW w:w="0" w:type="auto"/>
            <w:tcBorders>
              <w:top w:val="nil"/>
              <w:bottom w:val="nil"/>
              <w:right w:val="single" w:sz="2" w:space="0" w:color="FFFFFF"/>
              <w:tl2br w:val="nil"/>
              <w:tr2bl w:val="nil"/>
            </w:tcBorders>
            <w:shd w:val="clear" w:color="auto" w:fill="D4E1ED"/>
          </w:tcPr>
          <w:p w14:paraId="1A7993C5"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7,76%</w:t>
            </w:r>
          </w:p>
        </w:tc>
        <w:tc>
          <w:tcPr>
            <w:tcW w:w="0" w:type="auto"/>
            <w:tcBorders>
              <w:top w:val="nil"/>
              <w:bottom w:val="nil"/>
              <w:right w:val="nil"/>
              <w:tl2br w:val="nil"/>
              <w:tr2bl w:val="nil"/>
            </w:tcBorders>
            <w:shd w:val="clear" w:color="auto" w:fill="D4E1ED"/>
          </w:tcPr>
          <w:p w14:paraId="4526A83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amount outlaid on capital for the 3 financial years is below the norm. This is an indication of insufficient capital budget as a result of insufficient cash to undertake capital investment and ineffective budgeting techniques.</w:t>
            </w:r>
          </w:p>
          <w:p w14:paraId="770FF51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Unspent conditional grants as at 30 June 2022 totalled R571.0 million which indicate that MMM is using capital budget to fund operating expenses.</w:t>
            </w:r>
          </w:p>
          <w:p w14:paraId="3A39A6C8"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This will result in insufficient investment in infrastructure to increase capacity and accommodate envisaged growth within the Municipality.  </w:t>
            </w:r>
          </w:p>
          <w:p w14:paraId="50C00838" w14:textId="77777777" w:rsidR="005A6DBB" w:rsidRDefault="00F93099">
            <w:pPr>
              <w:rPr>
                <w:rFonts w:asciiTheme="minorHAnsi" w:hAnsiTheme="minorHAnsi" w:cstheme="minorHAnsi"/>
                <w:sz w:val="20"/>
                <w:szCs w:val="20"/>
                <w:highlight w:val="yellow"/>
                <w:lang w:eastAsia="en-ZA"/>
              </w:rPr>
            </w:pPr>
            <w:r>
              <w:rPr>
                <w:rFonts w:asciiTheme="minorHAnsi" w:hAnsiTheme="minorHAnsi" w:cstheme="minorHAnsi"/>
                <w:sz w:val="20"/>
                <w:szCs w:val="20"/>
                <w:lang w:eastAsia="en-ZA"/>
              </w:rPr>
              <w:t>This will result in poor service delivery.</w:t>
            </w:r>
          </w:p>
        </w:tc>
      </w:tr>
      <w:tr w:rsidR="005A6DBB" w14:paraId="7244C8C7" w14:textId="77777777" w:rsidTr="005A6DBB">
        <w:trPr>
          <w:trHeight w:val="570"/>
        </w:trPr>
        <w:tc>
          <w:tcPr>
            <w:tcW w:w="0" w:type="auto"/>
            <w:tcBorders>
              <w:top w:val="nil"/>
              <w:left w:val="nil"/>
              <w:bottom w:val="nil"/>
              <w:right w:val="single" w:sz="2" w:space="0" w:color="FFFFFF"/>
              <w:tl2br w:val="nil"/>
              <w:tr2bl w:val="nil"/>
            </w:tcBorders>
            <w:shd w:val="clear" w:color="auto" w:fill="BED3E4"/>
          </w:tcPr>
          <w:p w14:paraId="3D4ECF04"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Impairment of Property, Plant and Equipment, Investment Property and Intangible assets (Carrying Value)</w:t>
            </w:r>
          </w:p>
          <w:p w14:paraId="13689476"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is 0%</w:t>
            </w:r>
          </w:p>
        </w:tc>
        <w:tc>
          <w:tcPr>
            <w:tcW w:w="0" w:type="auto"/>
            <w:tcBorders>
              <w:top w:val="nil"/>
              <w:bottom w:val="nil"/>
              <w:right w:val="single" w:sz="2" w:space="0" w:color="FFFFFF"/>
              <w:tl2br w:val="nil"/>
              <w:tr2bl w:val="nil"/>
            </w:tcBorders>
            <w:shd w:val="clear" w:color="auto" w:fill="BED3E4"/>
          </w:tcPr>
          <w:p w14:paraId="2E143BB3"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0,13%</w:t>
            </w:r>
          </w:p>
        </w:tc>
        <w:tc>
          <w:tcPr>
            <w:tcW w:w="0" w:type="auto"/>
            <w:tcBorders>
              <w:top w:val="nil"/>
              <w:bottom w:val="nil"/>
              <w:right w:val="single" w:sz="2" w:space="0" w:color="FFFFFF"/>
              <w:tl2br w:val="nil"/>
              <w:tr2bl w:val="nil"/>
            </w:tcBorders>
            <w:shd w:val="clear" w:color="auto" w:fill="BED3E4"/>
          </w:tcPr>
          <w:p w14:paraId="59430AC8"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0,14%</w:t>
            </w:r>
          </w:p>
        </w:tc>
        <w:tc>
          <w:tcPr>
            <w:tcW w:w="0" w:type="auto"/>
            <w:tcBorders>
              <w:top w:val="nil"/>
              <w:bottom w:val="nil"/>
              <w:right w:val="single" w:sz="2" w:space="0" w:color="FFFFFF"/>
              <w:tl2br w:val="nil"/>
              <w:tr2bl w:val="nil"/>
            </w:tcBorders>
            <w:shd w:val="clear" w:color="auto" w:fill="BED3E4"/>
          </w:tcPr>
          <w:p w14:paraId="7C0182CE"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0,04%</w:t>
            </w:r>
          </w:p>
        </w:tc>
        <w:tc>
          <w:tcPr>
            <w:tcW w:w="0" w:type="auto"/>
            <w:tcBorders>
              <w:top w:val="nil"/>
              <w:bottom w:val="nil"/>
              <w:right w:val="nil"/>
              <w:tl2br w:val="nil"/>
              <w:tr2bl w:val="nil"/>
            </w:tcBorders>
            <w:shd w:val="clear" w:color="auto" w:fill="BED3E4"/>
          </w:tcPr>
          <w:p w14:paraId="6104051B"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ratios for the 3 financial years are slightly above the norm. However, with investment in infrastructure on the decline it is probable that impairments are taking place as aging infrastructure is being used past its life span which will ultimately result in breakdowns and service delivery interruptions. </w:t>
            </w:r>
          </w:p>
        </w:tc>
      </w:tr>
      <w:tr w:rsidR="005A6DBB" w14:paraId="77875EC7"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53D770AE"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Repairs and Maintenance to Property, Plant and Equipment and Investment Property – measures the level of repairs and maintenance to ensure adequate repairs and maintenance to prevent breakdowns and interruptions to services delivery. </w:t>
            </w:r>
          </w:p>
          <w:p w14:paraId="0B0A9CC1"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The norm is 8%.</w:t>
            </w:r>
          </w:p>
        </w:tc>
        <w:tc>
          <w:tcPr>
            <w:tcW w:w="0" w:type="auto"/>
            <w:tcBorders>
              <w:top w:val="nil"/>
              <w:bottom w:val="nil"/>
              <w:right w:val="single" w:sz="2" w:space="0" w:color="FFFFFF"/>
              <w:tl2br w:val="nil"/>
              <w:tr2bl w:val="nil"/>
            </w:tcBorders>
            <w:shd w:val="clear" w:color="auto" w:fill="D4E1ED"/>
          </w:tcPr>
          <w:p w14:paraId="312C4DE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1,10%</w:t>
            </w:r>
          </w:p>
        </w:tc>
        <w:tc>
          <w:tcPr>
            <w:tcW w:w="0" w:type="auto"/>
            <w:tcBorders>
              <w:top w:val="nil"/>
              <w:bottom w:val="nil"/>
              <w:right w:val="single" w:sz="2" w:space="0" w:color="FFFFFF"/>
              <w:tl2br w:val="nil"/>
              <w:tr2bl w:val="nil"/>
            </w:tcBorders>
            <w:shd w:val="clear" w:color="auto" w:fill="D4E1ED"/>
          </w:tcPr>
          <w:p w14:paraId="0BB5CD8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1,24%</w:t>
            </w:r>
          </w:p>
        </w:tc>
        <w:tc>
          <w:tcPr>
            <w:tcW w:w="0" w:type="auto"/>
            <w:tcBorders>
              <w:top w:val="nil"/>
              <w:bottom w:val="nil"/>
              <w:right w:val="single" w:sz="2" w:space="0" w:color="FFFFFF"/>
              <w:tl2br w:val="nil"/>
              <w:tr2bl w:val="nil"/>
            </w:tcBorders>
            <w:shd w:val="clear" w:color="auto" w:fill="D4E1ED"/>
          </w:tcPr>
          <w:p w14:paraId="589A340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1,60%</w:t>
            </w:r>
          </w:p>
        </w:tc>
        <w:tc>
          <w:tcPr>
            <w:tcW w:w="0" w:type="auto"/>
            <w:tcBorders>
              <w:top w:val="nil"/>
              <w:bottom w:val="nil"/>
              <w:right w:val="nil"/>
              <w:tl2br w:val="nil"/>
              <w:tr2bl w:val="nil"/>
            </w:tcBorders>
            <w:shd w:val="clear" w:color="auto" w:fill="D4E1ED"/>
          </w:tcPr>
          <w:p w14:paraId="2ECB63D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Repairs and maintenance to property, plant and equipment and investment property is very low.</w:t>
            </w:r>
          </w:p>
          <w:p w14:paraId="4BC1DA6A"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This indicate that insufficient expenditure is being spent on repairs and maintenance and that asset stripping is taking place. </w:t>
            </w:r>
          </w:p>
          <w:p w14:paraId="66E4EDE5" w14:textId="77777777" w:rsidR="005A6DBB" w:rsidRDefault="00F93099">
            <w:pPr>
              <w:rPr>
                <w:rFonts w:asciiTheme="minorHAnsi" w:hAnsiTheme="minorHAnsi" w:cstheme="minorHAnsi"/>
                <w:sz w:val="20"/>
                <w:szCs w:val="20"/>
                <w:lang w:eastAsia="en-ZA"/>
              </w:rPr>
            </w:pPr>
            <w:r>
              <w:rPr>
                <w:rFonts w:asciiTheme="minorHAnsi" w:hAnsiTheme="minorHAnsi" w:cstheme="minorHAnsi"/>
                <w:bCs/>
                <w:sz w:val="20"/>
                <w:szCs w:val="20"/>
                <w:lang w:eastAsia="en-ZA"/>
              </w:rPr>
              <w:t>This is further reducing the production capacity of the municipal infrastructure which will result in service delivery interruptions.</w:t>
            </w:r>
          </w:p>
        </w:tc>
      </w:tr>
      <w:tr w:rsidR="005A6DBB" w14:paraId="3E6C8A32" w14:textId="77777777" w:rsidTr="005A6DBB">
        <w:trPr>
          <w:trHeight w:val="430"/>
        </w:trPr>
        <w:tc>
          <w:tcPr>
            <w:tcW w:w="0" w:type="auto"/>
            <w:gridSpan w:val="5"/>
            <w:tcBorders>
              <w:top w:val="nil"/>
              <w:left w:val="nil"/>
              <w:bottom w:val="nil"/>
              <w:right w:val="nil"/>
              <w:tl2br w:val="nil"/>
              <w:tr2bl w:val="nil"/>
            </w:tcBorders>
            <w:shd w:val="clear" w:color="auto" w:fill="BED3E4"/>
          </w:tcPr>
          <w:p w14:paraId="1F4BEA69" w14:textId="77777777" w:rsidR="005A6DBB" w:rsidRDefault="00F93099">
            <w:pPr>
              <w:rPr>
                <w:rFonts w:asciiTheme="minorHAnsi" w:hAnsiTheme="minorHAnsi" w:cstheme="minorHAnsi"/>
                <w:b/>
                <w:bCs/>
                <w:color w:val="FFFFFF"/>
                <w:sz w:val="20"/>
                <w:szCs w:val="20"/>
                <w:highlight w:val="yellow"/>
                <w:lang w:eastAsia="en-ZA"/>
              </w:rPr>
            </w:pPr>
            <w:r>
              <w:rPr>
                <w:rFonts w:asciiTheme="minorHAnsi" w:hAnsiTheme="minorHAnsi" w:cstheme="minorHAnsi"/>
                <w:b/>
                <w:bCs/>
                <w:sz w:val="20"/>
                <w:szCs w:val="20"/>
                <w:lang w:eastAsia="en-ZA"/>
              </w:rPr>
              <w:t>Debtors Management</w:t>
            </w:r>
          </w:p>
        </w:tc>
      </w:tr>
      <w:tr w:rsidR="005A6DBB" w14:paraId="20EC4C79"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64FE880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Annual Collection Rate - indicates the level of payments as a percentage of revenue billed on credit.</w:t>
            </w:r>
          </w:p>
          <w:p w14:paraId="13B4D1DB" w14:textId="77777777" w:rsidR="005A6DBB" w:rsidRDefault="00F93099">
            <w:pPr>
              <w:rPr>
                <w:rFonts w:asciiTheme="minorHAnsi" w:hAnsiTheme="minorHAnsi" w:cstheme="minorHAnsi"/>
                <w:sz w:val="20"/>
                <w:szCs w:val="20"/>
                <w:lang w:eastAsia="en-ZA"/>
              </w:rPr>
            </w:pPr>
            <w:r>
              <w:rPr>
                <w:rFonts w:asciiTheme="minorHAnsi" w:hAnsiTheme="minorHAnsi" w:cstheme="minorHAnsi"/>
                <w:b/>
                <w:sz w:val="20"/>
                <w:szCs w:val="20"/>
                <w:lang w:eastAsia="en-ZA"/>
              </w:rPr>
              <w:t>The norm is 95%.</w:t>
            </w:r>
          </w:p>
        </w:tc>
        <w:tc>
          <w:tcPr>
            <w:tcW w:w="0" w:type="auto"/>
            <w:tcBorders>
              <w:top w:val="nil"/>
              <w:bottom w:val="nil"/>
              <w:right w:val="single" w:sz="2" w:space="0" w:color="FFFFFF"/>
              <w:tl2br w:val="nil"/>
              <w:tr2bl w:val="nil"/>
            </w:tcBorders>
            <w:shd w:val="clear" w:color="auto" w:fill="D4E1ED"/>
          </w:tcPr>
          <w:p w14:paraId="1AE36E3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83,12%</w:t>
            </w:r>
          </w:p>
        </w:tc>
        <w:tc>
          <w:tcPr>
            <w:tcW w:w="0" w:type="auto"/>
            <w:tcBorders>
              <w:top w:val="nil"/>
              <w:bottom w:val="nil"/>
              <w:right w:val="single" w:sz="2" w:space="0" w:color="FFFFFF"/>
              <w:tl2br w:val="nil"/>
              <w:tr2bl w:val="nil"/>
            </w:tcBorders>
            <w:shd w:val="clear" w:color="auto" w:fill="D4E1ED"/>
          </w:tcPr>
          <w:p w14:paraId="2207FB8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81,16%</w:t>
            </w:r>
          </w:p>
        </w:tc>
        <w:tc>
          <w:tcPr>
            <w:tcW w:w="0" w:type="auto"/>
            <w:tcBorders>
              <w:top w:val="nil"/>
              <w:bottom w:val="nil"/>
              <w:right w:val="single" w:sz="2" w:space="0" w:color="FFFFFF"/>
              <w:tl2br w:val="nil"/>
              <w:tr2bl w:val="nil"/>
            </w:tcBorders>
            <w:shd w:val="clear" w:color="auto" w:fill="D4E1ED"/>
          </w:tcPr>
          <w:p w14:paraId="2749A285"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79,44%</w:t>
            </w:r>
          </w:p>
        </w:tc>
        <w:tc>
          <w:tcPr>
            <w:tcW w:w="0" w:type="auto"/>
            <w:tcBorders>
              <w:top w:val="nil"/>
              <w:bottom w:val="nil"/>
              <w:right w:val="nil"/>
              <w:tl2br w:val="nil"/>
              <w:tr2bl w:val="nil"/>
            </w:tcBorders>
            <w:shd w:val="clear" w:color="auto" w:fill="D4E1ED"/>
          </w:tcPr>
          <w:p w14:paraId="4EEC836F"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collection rate remained below the norm for all three financial years under consideration.</w:t>
            </w:r>
          </w:p>
          <w:p w14:paraId="627B1F3A"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There is a downward trend in the ratios over the last three financial year.</w:t>
            </w:r>
          </w:p>
          <w:p w14:paraId="2869CF1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inability to collect revenue and thereby convert revenue to cash is a contributing factor to the cash flow challenges being experienced by the Municipality. </w:t>
            </w:r>
          </w:p>
          <w:p w14:paraId="7E3B333E"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It is also indictive that with the exclusion of electricity from the revenue mix (and credit control tool) this ratio will decline further.</w:t>
            </w:r>
          </w:p>
          <w:p w14:paraId="4029DC1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also signals a reliance on grants.</w:t>
            </w:r>
          </w:p>
        </w:tc>
      </w:tr>
      <w:tr w:rsidR="005A6DBB" w14:paraId="28787CD2" w14:textId="77777777" w:rsidTr="005A6DBB">
        <w:trPr>
          <w:trHeight w:val="570"/>
        </w:trPr>
        <w:tc>
          <w:tcPr>
            <w:tcW w:w="0" w:type="auto"/>
            <w:tcBorders>
              <w:top w:val="nil"/>
              <w:left w:val="nil"/>
              <w:bottom w:val="nil"/>
              <w:right w:val="single" w:sz="2" w:space="0" w:color="FFFFFF"/>
              <w:tl2br w:val="nil"/>
              <w:tr2bl w:val="nil"/>
            </w:tcBorders>
            <w:shd w:val="clear" w:color="auto" w:fill="BED3E4"/>
          </w:tcPr>
          <w:p w14:paraId="243E7EB2"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 xml:space="preserve">Bad Debts Written-off as % of Provision for Bad Debt </w:t>
            </w:r>
          </w:p>
          <w:p w14:paraId="0C8F4A1C"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is 100%</w:t>
            </w:r>
          </w:p>
        </w:tc>
        <w:tc>
          <w:tcPr>
            <w:tcW w:w="0" w:type="auto"/>
            <w:tcBorders>
              <w:top w:val="nil"/>
              <w:bottom w:val="nil"/>
              <w:right w:val="single" w:sz="2" w:space="0" w:color="FFFFFF"/>
              <w:tl2br w:val="nil"/>
              <w:tr2bl w:val="nil"/>
            </w:tcBorders>
            <w:shd w:val="clear" w:color="auto" w:fill="BED3E4"/>
          </w:tcPr>
          <w:p w14:paraId="701AC6A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6,77%</w:t>
            </w:r>
          </w:p>
        </w:tc>
        <w:tc>
          <w:tcPr>
            <w:tcW w:w="0" w:type="auto"/>
            <w:tcBorders>
              <w:top w:val="nil"/>
              <w:bottom w:val="nil"/>
              <w:right w:val="single" w:sz="2" w:space="0" w:color="FFFFFF"/>
              <w:tl2br w:val="nil"/>
              <w:tr2bl w:val="nil"/>
            </w:tcBorders>
            <w:shd w:val="clear" w:color="auto" w:fill="BED3E4"/>
          </w:tcPr>
          <w:p w14:paraId="4E449EA8"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0,36%</w:t>
            </w:r>
          </w:p>
        </w:tc>
        <w:tc>
          <w:tcPr>
            <w:tcW w:w="0" w:type="auto"/>
            <w:tcBorders>
              <w:top w:val="nil"/>
              <w:bottom w:val="nil"/>
              <w:right w:val="single" w:sz="2" w:space="0" w:color="FFFFFF"/>
              <w:tl2br w:val="nil"/>
              <w:tr2bl w:val="nil"/>
            </w:tcBorders>
            <w:shd w:val="clear" w:color="auto" w:fill="BED3E4"/>
          </w:tcPr>
          <w:p w14:paraId="39877BB5"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2,36%</w:t>
            </w:r>
          </w:p>
        </w:tc>
        <w:tc>
          <w:tcPr>
            <w:tcW w:w="0" w:type="auto"/>
            <w:tcBorders>
              <w:top w:val="nil"/>
              <w:bottom w:val="nil"/>
              <w:right w:val="nil"/>
              <w:tl2br w:val="nil"/>
              <w:tr2bl w:val="nil"/>
            </w:tcBorders>
            <w:shd w:val="clear" w:color="auto" w:fill="BED3E4"/>
          </w:tcPr>
          <w:p w14:paraId="1DA19F14"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is indicating that either the provision for bad debts is insufficient or unrecoverable debtors are not being written off.</w:t>
            </w:r>
          </w:p>
          <w:p w14:paraId="5C60915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Compared to the norm of 100%, the ratio of 2,36% is unrealistic and not consistent with the low collection rates.</w:t>
            </w:r>
          </w:p>
          <w:p w14:paraId="7FB39C1A"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An up to date indigent register should be kept.</w:t>
            </w:r>
          </w:p>
        </w:tc>
      </w:tr>
      <w:tr w:rsidR="005A6DBB" w14:paraId="0D955EE3"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3159430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Debtors Management Net Debtors Days – indicates the average number of days taken for debtors to pay their accounts. </w:t>
            </w:r>
          </w:p>
          <w:p w14:paraId="486C587A" w14:textId="77777777" w:rsidR="005A6DBB" w:rsidRDefault="00F93099">
            <w:pPr>
              <w:rPr>
                <w:rFonts w:asciiTheme="minorHAnsi" w:hAnsiTheme="minorHAnsi" w:cstheme="minorHAnsi"/>
                <w:b/>
                <w:bCs/>
                <w:color w:val="FFFFFF"/>
                <w:sz w:val="20"/>
                <w:szCs w:val="20"/>
                <w:lang w:eastAsia="en-ZA"/>
              </w:rPr>
            </w:pPr>
            <w:r>
              <w:rPr>
                <w:rFonts w:asciiTheme="minorHAnsi" w:hAnsiTheme="minorHAnsi" w:cstheme="minorHAnsi"/>
                <w:b/>
                <w:bCs/>
                <w:sz w:val="20"/>
                <w:szCs w:val="20"/>
                <w:lang w:eastAsia="en-ZA"/>
              </w:rPr>
              <w:t>The norm is 30 days.</w:t>
            </w:r>
          </w:p>
        </w:tc>
        <w:tc>
          <w:tcPr>
            <w:tcW w:w="0" w:type="auto"/>
            <w:tcBorders>
              <w:top w:val="nil"/>
              <w:bottom w:val="nil"/>
              <w:right w:val="single" w:sz="2" w:space="0" w:color="FFFFFF"/>
              <w:tl2br w:val="nil"/>
              <w:tr2bl w:val="nil"/>
            </w:tcBorders>
            <w:shd w:val="clear" w:color="auto" w:fill="D4E1ED"/>
          </w:tcPr>
          <w:p w14:paraId="7F8B155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100,51 days</w:t>
            </w:r>
          </w:p>
        </w:tc>
        <w:tc>
          <w:tcPr>
            <w:tcW w:w="0" w:type="auto"/>
            <w:tcBorders>
              <w:top w:val="nil"/>
              <w:bottom w:val="nil"/>
              <w:right w:val="single" w:sz="2" w:space="0" w:color="FFFFFF"/>
              <w:tl2br w:val="nil"/>
              <w:tr2bl w:val="nil"/>
            </w:tcBorders>
            <w:shd w:val="clear" w:color="auto" w:fill="D4E1ED"/>
          </w:tcPr>
          <w:p w14:paraId="15BF70D9"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116,21 days</w:t>
            </w:r>
          </w:p>
        </w:tc>
        <w:tc>
          <w:tcPr>
            <w:tcW w:w="0" w:type="auto"/>
            <w:tcBorders>
              <w:top w:val="nil"/>
              <w:bottom w:val="nil"/>
              <w:right w:val="single" w:sz="2" w:space="0" w:color="FFFFFF"/>
              <w:tl2br w:val="nil"/>
              <w:tr2bl w:val="nil"/>
            </w:tcBorders>
            <w:shd w:val="clear" w:color="auto" w:fill="D4E1ED"/>
          </w:tcPr>
          <w:p w14:paraId="6C58E336"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88,15 days</w:t>
            </w:r>
          </w:p>
        </w:tc>
        <w:tc>
          <w:tcPr>
            <w:tcW w:w="0" w:type="auto"/>
            <w:tcBorders>
              <w:top w:val="nil"/>
              <w:bottom w:val="nil"/>
              <w:right w:val="nil"/>
              <w:tl2br w:val="nil"/>
              <w:tr2bl w:val="nil"/>
            </w:tcBorders>
            <w:shd w:val="clear" w:color="auto" w:fill="D4E1ED"/>
          </w:tcPr>
          <w:p w14:paraId="2911792B"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debtors’ payment period was above the norm for all three financial years, which is indicative of its current cashflow challenges and bad debt collection rate. </w:t>
            </w:r>
          </w:p>
          <w:p w14:paraId="1E62257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There is an increasing unemployment rate in South Africa, and MMM’s current unemployment rate sits at 21.9% as at 30 June 2022. This will result in even further deteriorating debtor payment days.</w:t>
            </w:r>
          </w:p>
          <w:p w14:paraId="3644EF19" w14:textId="77777777" w:rsidR="005A6DBB" w:rsidRDefault="00F93099">
            <w:pPr>
              <w:rPr>
                <w:rFonts w:asciiTheme="minorHAnsi" w:hAnsiTheme="minorHAnsi" w:cstheme="minorHAnsi"/>
                <w:color w:val="FFFFFF"/>
                <w:sz w:val="20"/>
                <w:szCs w:val="20"/>
                <w:highlight w:val="yellow"/>
                <w:lang w:eastAsia="en-ZA"/>
              </w:rPr>
            </w:pPr>
            <w:r>
              <w:rPr>
                <w:rFonts w:asciiTheme="minorHAnsi" w:hAnsiTheme="minorHAnsi" w:cstheme="minorHAnsi"/>
                <w:sz w:val="20"/>
                <w:szCs w:val="20"/>
                <w:lang w:eastAsia="en-ZA"/>
              </w:rPr>
              <w:t>The inability to collect revenue and thereby convert revenue to cash is a contributing factor to the cash flow challenges being experienced by the Municipality.</w:t>
            </w:r>
          </w:p>
        </w:tc>
      </w:tr>
      <w:tr w:rsidR="005A6DBB" w14:paraId="7E0B8C31" w14:textId="77777777" w:rsidTr="005A6DBB">
        <w:trPr>
          <w:trHeight w:val="430"/>
        </w:trPr>
        <w:tc>
          <w:tcPr>
            <w:tcW w:w="0" w:type="auto"/>
            <w:gridSpan w:val="5"/>
            <w:tcBorders>
              <w:top w:val="nil"/>
              <w:left w:val="nil"/>
              <w:bottom w:val="nil"/>
              <w:right w:val="nil"/>
              <w:tl2br w:val="nil"/>
              <w:tr2bl w:val="nil"/>
            </w:tcBorders>
            <w:shd w:val="clear" w:color="auto" w:fill="BED3E4"/>
          </w:tcPr>
          <w:p w14:paraId="3665E4E9" w14:textId="77777777" w:rsidR="005A6DBB" w:rsidRDefault="00F93099">
            <w:pPr>
              <w:rPr>
                <w:rFonts w:asciiTheme="minorHAnsi" w:hAnsiTheme="minorHAnsi" w:cstheme="minorHAnsi"/>
                <w:b/>
                <w:bCs/>
                <w:color w:val="FFFFFF"/>
                <w:sz w:val="20"/>
                <w:szCs w:val="20"/>
                <w:highlight w:val="yellow"/>
                <w:lang w:eastAsia="en-ZA"/>
              </w:rPr>
            </w:pPr>
            <w:r>
              <w:rPr>
                <w:rFonts w:asciiTheme="minorHAnsi" w:hAnsiTheme="minorHAnsi" w:cstheme="minorHAnsi"/>
                <w:b/>
                <w:bCs/>
                <w:sz w:val="20"/>
                <w:szCs w:val="20"/>
                <w:lang w:eastAsia="en-ZA"/>
              </w:rPr>
              <w:t>Liquidity Management</w:t>
            </w:r>
          </w:p>
        </w:tc>
      </w:tr>
      <w:tr w:rsidR="005A6DBB" w14:paraId="3FF5C51A"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1C0E33EE"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Cash / Cost Coverage Ratio (Excl. Unspent Conditional Grants)</w:t>
            </w:r>
          </w:p>
          <w:p w14:paraId="67EAFC50"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Nom is 1 - 3 Months</w:t>
            </w:r>
          </w:p>
        </w:tc>
        <w:tc>
          <w:tcPr>
            <w:tcW w:w="0" w:type="auto"/>
            <w:tcBorders>
              <w:top w:val="nil"/>
              <w:bottom w:val="nil"/>
              <w:right w:val="single" w:sz="2" w:space="0" w:color="FFFFFF"/>
              <w:tl2br w:val="nil"/>
              <w:tr2bl w:val="nil"/>
            </w:tcBorders>
            <w:shd w:val="clear" w:color="auto" w:fill="D4E1ED"/>
          </w:tcPr>
          <w:p w14:paraId="3CDE7483"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-0,02</w:t>
            </w:r>
          </w:p>
        </w:tc>
        <w:tc>
          <w:tcPr>
            <w:tcW w:w="0" w:type="auto"/>
            <w:tcBorders>
              <w:top w:val="nil"/>
              <w:bottom w:val="nil"/>
              <w:right w:val="single" w:sz="2" w:space="0" w:color="FFFFFF"/>
              <w:tl2br w:val="nil"/>
              <w:tr2bl w:val="nil"/>
            </w:tcBorders>
            <w:shd w:val="clear" w:color="auto" w:fill="D4E1ED"/>
          </w:tcPr>
          <w:p w14:paraId="3D288B33"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0,36</w:t>
            </w:r>
          </w:p>
        </w:tc>
        <w:tc>
          <w:tcPr>
            <w:tcW w:w="0" w:type="auto"/>
            <w:tcBorders>
              <w:top w:val="nil"/>
              <w:bottom w:val="nil"/>
              <w:right w:val="single" w:sz="2" w:space="0" w:color="FFFFFF"/>
              <w:tl2br w:val="nil"/>
              <w:tr2bl w:val="nil"/>
            </w:tcBorders>
            <w:shd w:val="clear" w:color="auto" w:fill="D4E1ED"/>
          </w:tcPr>
          <w:p w14:paraId="5770F38D"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0,31</w:t>
            </w:r>
          </w:p>
        </w:tc>
        <w:tc>
          <w:tcPr>
            <w:tcW w:w="0" w:type="auto"/>
            <w:tcBorders>
              <w:top w:val="nil"/>
              <w:bottom w:val="nil"/>
              <w:right w:val="nil"/>
              <w:tl2br w:val="nil"/>
              <w:tr2bl w:val="nil"/>
            </w:tcBorders>
            <w:shd w:val="clear" w:color="auto" w:fill="D4E1ED"/>
          </w:tcPr>
          <w:p w14:paraId="233C41C4"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cash cost coverage is substantially below the norm. This is indicative of the poor debtor’s collection rate as well as the poor payment rate of MMM creditors.</w:t>
            </w:r>
          </w:p>
          <w:p w14:paraId="59B3B20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municipality is vulnerable and at a higher risk in the event of financial shocks/setbacks and this affects its ability to meet its obligations to provide basic services or its financial commitment is compromised. </w:t>
            </w:r>
          </w:p>
          <w:p w14:paraId="5DC093DF"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municipality needs to implement cost containment measures and revenue enhancement initiatives.</w:t>
            </w:r>
          </w:p>
        </w:tc>
      </w:tr>
      <w:tr w:rsidR="005A6DBB" w14:paraId="4B2780BA" w14:textId="77777777" w:rsidTr="005A6DBB">
        <w:trPr>
          <w:trHeight w:val="570"/>
        </w:trPr>
        <w:tc>
          <w:tcPr>
            <w:tcW w:w="0" w:type="auto"/>
            <w:tcBorders>
              <w:top w:val="nil"/>
              <w:left w:val="nil"/>
              <w:bottom w:val="nil"/>
              <w:right w:val="single" w:sz="2" w:space="0" w:color="FFFFFF"/>
              <w:tl2br w:val="nil"/>
              <w:tr2bl w:val="nil"/>
            </w:tcBorders>
            <w:shd w:val="clear" w:color="auto" w:fill="BED3E4"/>
          </w:tcPr>
          <w:p w14:paraId="52975049"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Liquidity Ratio (Current Ratio) - this ratio indicates the extent to which current assets can be used to settle short-term liabilities. </w:t>
            </w:r>
          </w:p>
          <w:p w14:paraId="11EFD23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If current assets do not exceed current liabilities it means a liquidity problem i.e. insufficient cash to meet financial obligations. </w:t>
            </w:r>
          </w:p>
          <w:p w14:paraId="385F7B31" w14:textId="77777777" w:rsidR="005A6DBB" w:rsidRDefault="00F93099">
            <w:pPr>
              <w:rPr>
                <w:rFonts w:asciiTheme="minorHAnsi" w:hAnsiTheme="minorHAnsi" w:cstheme="minorHAnsi"/>
                <w:b/>
                <w:bCs/>
                <w:color w:val="FFFFFF"/>
                <w:sz w:val="20"/>
                <w:szCs w:val="20"/>
                <w:lang w:eastAsia="en-ZA"/>
              </w:rPr>
            </w:pPr>
            <w:r>
              <w:rPr>
                <w:rFonts w:asciiTheme="minorHAnsi" w:hAnsiTheme="minorHAnsi" w:cstheme="minorHAnsi"/>
                <w:b/>
                <w:bCs/>
                <w:sz w:val="20"/>
                <w:szCs w:val="20"/>
                <w:lang w:eastAsia="en-ZA"/>
              </w:rPr>
              <w:t>The norm is 1.5 - 2:1.</w:t>
            </w:r>
          </w:p>
        </w:tc>
        <w:tc>
          <w:tcPr>
            <w:tcW w:w="0" w:type="auto"/>
            <w:tcBorders>
              <w:top w:val="nil"/>
              <w:bottom w:val="nil"/>
              <w:right w:val="single" w:sz="2" w:space="0" w:color="FFFFFF"/>
              <w:tl2br w:val="nil"/>
              <w:tr2bl w:val="nil"/>
            </w:tcBorders>
            <w:shd w:val="clear" w:color="auto" w:fill="BED3E4"/>
          </w:tcPr>
          <w:p w14:paraId="4205D50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0,93</w:t>
            </w:r>
          </w:p>
        </w:tc>
        <w:tc>
          <w:tcPr>
            <w:tcW w:w="0" w:type="auto"/>
            <w:tcBorders>
              <w:top w:val="nil"/>
              <w:bottom w:val="nil"/>
              <w:right w:val="single" w:sz="2" w:space="0" w:color="FFFFFF"/>
              <w:tl2br w:val="nil"/>
              <w:tr2bl w:val="nil"/>
            </w:tcBorders>
            <w:shd w:val="clear" w:color="auto" w:fill="BED3E4"/>
          </w:tcPr>
          <w:p w14:paraId="74CA394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0,95</w:t>
            </w:r>
          </w:p>
        </w:tc>
        <w:tc>
          <w:tcPr>
            <w:tcW w:w="0" w:type="auto"/>
            <w:tcBorders>
              <w:top w:val="nil"/>
              <w:bottom w:val="nil"/>
              <w:right w:val="single" w:sz="2" w:space="0" w:color="FFFFFF"/>
              <w:tl2br w:val="nil"/>
              <w:tr2bl w:val="nil"/>
            </w:tcBorders>
            <w:shd w:val="clear" w:color="auto" w:fill="BED3E4"/>
          </w:tcPr>
          <w:p w14:paraId="0D04E49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0,87</w:t>
            </w:r>
          </w:p>
        </w:tc>
        <w:tc>
          <w:tcPr>
            <w:tcW w:w="0" w:type="auto"/>
            <w:tcBorders>
              <w:top w:val="nil"/>
              <w:bottom w:val="nil"/>
              <w:right w:val="nil"/>
              <w:tl2br w:val="nil"/>
              <w:tr2bl w:val="nil"/>
            </w:tcBorders>
            <w:shd w:val="clear" w:color="auto" w:fill="BED3E4"/>
          </w:tcPr>
          <w:p w14:paraId="0FC22F8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current ratios are well below the norm in all 3 financial years. </w:t>
            </w:r>
          </w:p>
          <w:p w14:paraId="27A60A23"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This is an indication that the Municipality will not be able to pay its current or short-term liabilities (Debt and Payables) with its short-term assets (i.e., Cash, Inventory, Receivables) as and when they fall due.</w:t>
            </w:r>
          </w:p>
          <w:p w14:paraId="27DFAE1E"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If grants are excluded, the municipality was not able to cover its commitments to suppliers and employees for the 2020/21 and 2021/22 financial years, retaining a deficit between receipts from operation and cash paid to suppliers and employees of R1.1billion (2020/21; R 870 million).</w:t>
            </w:r>
          </w:p>
        </w:tc>
      </w:tr>
      <w:tr w:rsidR="005A6DBB" w14:paraId="2ED8CEB7" w14:textId="77777777" w:rsidTr="005A6DBB">
        <w:trPr>
          <w:trHeight w:val="430"/>
        </w:trPr>
        <w:tc>
          <w:tcPr>
            <w:tcW w:w="0" w:type="auto"/>
            <w:gridSpan w:val="5"/>
            <w:tcBorders>
              <w:top w:val="nil"/>
              <w:left w:val="nil"/>
              <w:bottom w:val="nil"/>
              <w:right w:val="nil"/>
              <w:tl2br w:val="nil"/>
              <w:tr2bl w:val="nil"/>
            </w:tcBorders>
            <w:shd w:val="clear" w:color="auto" w:fill="D4E1ED"/>
          </w:tcPr>
          <w:p w14:paraId="45823284" w14:textId="77777777" w:rsidR="005A6DBB" w:rsidRDefault="00F93099">
            <w:pPr>
              <w:rPr>
                <w:rFonts w:asciiTheme="minorHAnsi" w:hAnsiTheme="minorHAnsi" w:cstheme="minorHAnsi"/>
                <w:b/>
                <w:bCs/>
                <w:sz w:val="20"/>
                <w:szCs w:val="20"/>
                <w:highlight w:val="yellow"/>
                <w:lang w:eastAsia="en-ZA"/>
              </w:rPr>
            </w:pPr>
            <w:r>
              <w:rPr>
                <w:rFonts w:asciiTheme="minorHAnsi" w:hAnsiTheme="minorHAnsi" w:cstheme="minorHAnsi"/>
                <w:b/>
                <w:bCs/>
                <w:sz w:val="20"/>
                <w:szCs w:val="20"/>
                <w:lang w:eastAsia="en-ZA"/>
              </w:rPr>
              <w:t>Liability Management</w:t>
            </w:r>
          </w:p>
        </w:tc>
      </w:tr>
      <w:tr w:rsidR="005A6DBB" w14:paraId="6935DDD2" w14:textId="77777777" w:rsidTr="005A6DBB">
        <w:trPr>
          <w:trHeight w:val="570"/>
        </w:trPr>
        <w:tc>
          <w:tcPr>
            <w:tcW w:w="0" w:type="auto"/>
            <w:tcBorders>
              <w:top w:val="nil"/>
              <w:left w:val="nil"/>
              <w:bottom w:val="nil"/>
              <w:right w:val="single" w:sz="2" w:space="0" w:color="FFFFFF"/>
              <w:tl2br w:val="nil"/>
              <w:tr2bl w:val="nil"/>
            </w:tcBorders>
            <w:shd w:val="clear" w:color="auto" w:fill="BED3E4"/>
          </w:tcPr>
          <w:p w14:paraId="4E7F176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Capital Cost (Interest Paid and Redemption) as a % of Total Operating Expenditure - indicates the cost required to service the borrowing. It assesses the borrowing or payment obligation expressed as a percentage of total operating expenditure.</w:t>
            </w:r>
          </w:p>
          <w:p w14:paraId="7CB08FFE" w14:textId="77777777" w:rsidR="005A6DBB" w:rsidRDefault="00F93099">
            <w:pPr>
              <w:rPr>
                <w:rFonts w:asciiTheme="minorHAnsi" w:hAnsiTheme="minorHAnsi" w:cstheme="minorHAnsi"/>
                <w:sz w:val="20"/>
                <w:szCs w:val="20"/>
                <w:lang w:eastAsia="en-ZA"/>
              </w:rPr>
            </w:pPr>
            <w:r>
              <w:rPr>
                <w:rFonts w:asciiTheme="minorHAnsi" w:hAnsiTheme="minorHAnsi" w:cstheme="minorHAnsi"/>
                <w:b/>
                <w:sz w:val="20"/>
                <w:szCs w:val="20"/>
                <w:lang w:eastAsia="en-ZA"/>
              </w:rPr>
              <w:t>The norm is 6% - 8%.</w:t>
            </w:r>
          </w:p>
        </w:tc>
        <w:tc>
          <w:tcPr>
            <w:tcW w:w="0" w:type="auto"/>
            <w:tcBorders>
              <w:top w:val="nil"/>
              <w:bottom w:val="nil"/>
              <w:right w:val="single" w:sz="2" w:space="0" w:color="FFFFFF"/>
              <w:tl2br w:val="nil"/>
              <w:tr2bl w:val="nil"/>
            </w:tcBorders>
            <w:shd w:val="clear" w:color="auto" w:fill="BED3E4"/>
          </w:tcPr>
          <w:p w14:paraId="1C91067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3,46%</w:t>
            </w:r>
          </w:p>
        </w:tc>
        <w:tc>
          <w:tcPr>
            <w:tcW w:w="0" w:type="auto"/>
            <w:tcBorders>
              <w:top w:val="nil"/>
              <w:bottom w:val="nil"/>
              <w:right w:val="single" w:sz="2" w:space="0" w:color="FFFFFF"/>
              <w:tl2br w:val="nil"/>
              <w:tr2bl w:val="nil"/>
            </w:tcBorders>
            <w:shd w:val="clear" w:color="auto" w:fill="BED3E4"/>
          </w:tcPr>
          <w:p w14:paraId="02B22BE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4,30%</w:t>
            </w:r>
          </w:p>
        </w:tc>
        <w:tc>
          <w:tcPr>
            <w:tcW w:w="0" w:type="auto"/>
            <w:tcBorders>
              <w:top w:val="nil"/>
              <w:bottom w:val="nil"/>
              <w:right w:val="single" w:sz="2" w:space="0" w:color="FFFFFF"/>
              <w:tl2br w:val="nil"/>
              <w:tr2bl w:val="nil"/>
            </w:tcBorders>
            <w:shd w:val="clear" w:color="auto" w:fill="BED3E4"/>
          </w:tcPr>
          <w:p w14:paraId="084AC52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2,82%</w:t>
            </w:r>
          </w:p>
        </w:tc>
        <w:tc>
          <w:tcPr>
            <w:tcW w:w="0" w:type="auto"/>
            <w:tcBorders>
              <w:top w:val="nil"/>
              <w:bottom w:val="nil"/>
              <w:right w:val="nil"/>
              <w:tl2br w:val="nil"/>
              <w:tr2bl w:val="nil"/>
            </w:tcBorders>
            <w:shd w:val="clear" w:color="auto" w:fill="BED3E4"/>
          </w:tcPr>
          <w:p w14:paraId="377A8EF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ratio is below the norm for the 3 financial years.</w:t>
            </w:r>
          </w:p>
          <w:p w14:paraId="73CC494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Borrowing and credit needs to be appropriately managed to avoid a situation where the Municipality is no longer able to service its debt levels.</w:t>
            </w:r>
          </w:p>
          <w:p w14:paraId="7F232CDC" w14:textId="77777777" w:rsidR="005A6DBB" w:rsidRDefault="00F93099">
            <w:pPr>
              <w:tabs>
                <w:tab w:val="left" w:pos="233"/>
              </w:tabs>
              <w:rPr>
                <w:rFonts w:asciiTheme="minorHAnsi" w:hAnsiTheme="minorHAnsi" w:cstheme="minorHAnsi"/>
                <w:sz w:val="20"/>
                <w:szCs w:val="20"/>
                <w:lang w:eastAsia="en-ZA"/>
              </w:rPr>
            </w:pPr>
            <w:r>
              <w:rPr>
                <w:rFonts w:asciiTheme="minorHAnsi" w:hAnsiTheme="minorHAnsi" w:cstheme="minorHAnsi"/>
                <w:sz w:val="20"/>
                <w:szCs w:val="20"/>
                <w:lang w:eastAsia="en-ZA"/>
              </w:rPr>
              <w:t>This ratio is to be read with the Debt/ (Total Borrowing)/ Revenue ratio and its collection rate.</w:t>
            </w:r>
          </w:p>
          <w:p w14:paraId="037CE3A5" w14:textId="77777777" w:rsidR="005A6DBB" w:rsidRDefault="00F93099">
            <w:pPr>
              <w:tabs>
                <w:tab w:val="left" w:pos="233"/>
              </w:tabs>
              <w:rPr>
                <w:rFonts w:asciiTheme="minorHAnsi" w:hAnsiTheme="minorHAnsi" w:cstheme="minorHAnsi"/>
                <w:bCs/>
                <w:sz w:val="20"/>
                <w:szCs w:val="20"/>
                <w:lang w:eastAsia="en-ZA"/>
              </w:rPr>
            </w:pPr>
            <w:r>
              <w:rPr>
                <w:rFonts w:asciiTheme="minorHAnsi" w:hAnsiTheme="minorHAnsi" w:cstheme="minorHAnsi"/>
                <w:bCs/>
                <w:sz w:val="20"/>
                <w:szCs w:val="20"/>
                <w:lang w:eastAsia="en-ZA"/>
              </w:rPr>
              <w:t>Given the low cash generating ability and the loans from with DBSA, Standard Bank and Absa Bank valued at R668 million, already defaulting during the 2021/22 financial with R 382.1 million, the MMM does not have capacity to take on more debt. A possible renegotiation of the loans would be required.</w:t>
            </w:r>
          </w:p>
        </w:tc>
      </w:tr>
      <w:tr w:rsidR="005A6DBB" w14:paraId="2D591B16" w14:textId="77777777" w:rsidTr="005A6DBB">
        <w:trPr>
          <w:trHeight w:val="570"/>
        </w:trPr>
        <w:tc>
          <w:tcPr>
            <w:tcW w:w="0" w:type="auto"/>
            <w:tcBorders>
              <w:top w:val="nil"/>
              <w:left w:val="nil"/>
              <w:bottom w:val="nil"/>
              <w:right w:val="single" w:sz="2" w:space="0" w:color="FFFFFF"/>
              <w:tl2br w:val="nil"/>
              <w:tr2bl w:val="nil"/>
            </w:tcBorders>
            <w:shd w:val="clear" w:color="auto" w:fill="D4E1ED"/>
          </w:tcPr>
          <w:p w14:paraId="528BB9E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Debt (Total Borrowings)/ Revenue - indicates the extent of total borrowings in relation to total operating revenue. </w:t>
            </w:r>
          </w:p>
          <w:p w14:paraId="55687D8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purpose of the ratio is to provide assurance that sufficient revenue will be generated to repay liabilities. Alternatively stated, the ratio indicates the affordability of the total borrowings.</w:t>
            </w:r>
          </w:p>
          <w:p w14:paraId="24A3B7D9" w14:textId="77777777" w:rsidR="005A6DBB" w:rsidRDefault="00F93099">
            <w:pPr>
              <w:rPr>
                <w:rFonts w:asciiTheme="minorHAnsi" w:hAnsiTheme="minorHAnsi" w:cstheme="minorHAnsi"/>
                <w:b/>
                <w:sz w:val="20"/>
                <w:szCs w:val="20"/>
                <w:lang w:eastAsia="en-ZA"/>
              </w:rPr>
            </w:pPr>
            <w:r>
              <w:rPr>
                <w:rFonts w:asciiTheme="minorHAnsi" w:hAnsiTheme="minorHAnsi" w:cstheme="minorHAnsi"/>
                <w:b/>
                <w:sz w:val="20"/>
                <w:szCs w:val="20"/>
                <w:lang w:eastAsia="en-ZA"/>
              </w:rPr>
              <w:t>The norm is 45%.</w:t>
            </w:r>
          </w:p>
        </w:tc>
        <w:tc>
          <w:tcPr>
            <w:tcW w:w="0" w:type="auto"/>
            <w:tcBorders>
              <w:top w:val="nil"/>
              <w:bottom w:val="nil"/>
              <w:right w:val="single" w:sz="2" w:space="0" w:color="FFFFFF"/>
              <w:tl2br w:val="nil"/>
              <w:tr2bl w:val="nil"/>
            </w:tcBorders>
            <w:shd w:val="clear" w:color="auto" w:fill="D4E1ED"/>
          </w:tcPr>
          <w:p w14:paraId="37D0CE95"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13,90%</w:t>
            </w:r>
          </w:p>
        </w:tc>
        <w:tc>
          <w:tcPr>
            <w:tcW w:w="0" w:type="auto"/>
            <w:tcBorders>
              <w:top w:val="nil"/>
              <w:bottom w:val="nil"/>
              <w:right w:val="single" w:sz="2" w:space="0" w:color="FFFFFF"/>
              <w:tl2br w:val="nil"/>
              <w:tr2bl w:val="nil"/>
            </w:tcBorders>
            <w:shd w:val="clear" w:color="auto" w:fill="D4E1ED"/>
          </w:tcPr>
          <w:p w14:paraId="6092004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10,83%</w:t>
            </w:r>
          </w:p>
        </w:tc>
        <w:tc>
          <w:tcPr>
            <w:tcW w:w="0" w:type="auto"/>
            <w:tcBorders>
              <w:top w:val="nil"/>
              <w:bottom w:val="nil"/>
              <w:right w:val="single" w:sz="2" w:space="0" w:color="FFFFFF"/>
              <w:tl2br w:val="nil"/>
              <w:tr2bl w:val="nil"/>
            </w:tcBorders>
            <w:shd w:val="clear" w:color="auto" w:fill="D4E1ED"/>
          </w:tcPr>
          <w:p w14:paraId="5C22391A"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8,20%</w:t>
            </w:r>
          </w:p>
        </w:tc>
        <w:tc>
          <w:tcPr>
            <w:tcW w:w="0" w:type="auto"/>
            <w:tcBorders>
              <w:top w:val="nil"/>
              <w:bottom w:val="nil"/>
              <w:right w:val="nil"/>
              <w:tl2br w:val="nil"/>
              <w:tr2bl w:val="nil"/>
            </w:tcBorders>
            <w:shd w:val="clear" w:color="auto" w:fill="D4E1ED"/>
          </w:tcPr>
          <w:p w14:paraId="27F57DF4" w14:textId="77777777" w:rsidR="005A6DBB" w:rsidRDefault="00F93099">
            <w:pPr>
              <w:tabs>
                <w:tab w:val="left" w:pos="233"/>
              </w:tabs>
              <w:rPr>
                <w:rFonts w:asciiTheme="minorHAnsi" w:hAnsiTheme="minorHAnsi" w:cstheme="minorHAnsi"/>
                <w:bCs/>
                <w:sz w:val="20"/>
                <w:szCs w:val="20"/>
                <w:lang w:eastAsia="en-ZA"/>
              </w:rPr>
            </w:pPr>
            <w:r>
              <w:rPr>
                <w:rFonts w:asciiTheme="minorHAnsi" w:hAnsiTheme="minorHAnsi" w:cstheme="minorHAnsi"/>
                <w:bCs/>
                <w:sz w:val="20"/>
                <w:szCs w:val="20"/>
                <w:lang w:eastAsia="en-ZA"/>
              </w:rPr>
              <w:t>The level of borrowing within the Municipality has been maintained at an acceptable level for the last three years. This is more than likely due to the fact that MMM is not able to obtain further external borrowings due to the state of its finances.</w:t>
            </w:r>
          </w:p>
          <w:p w14:paraId="0FEDB583" w14:textId="77777777" w:rsidR="005A6DBB" w:rsidRDefault="00F93099">
            <w:pPr>
              <w:tabs>
                <w:tab w:val="left" w:pos="233"/>
              </w:tabs>
              <w:rPr>
                <w:rFonts w:asciiTheme="minorHAnsi" w:hAnsiTheme="minorHAnsi" w:cstheme="minorHAnsi"/>
                <w:bCs/>
                <w:sz w:val="20"/>
                <w:szCs w:val="20"/>
                <w:lang w:eastAsia="en-ZA"/>
              </w:rPr>
            </w:pPr>
            <w:r>
              <w:rPr>
                <w:rFonts w:asciiTheme="minorHAnsi" w:hAnsiTheme="minorHAnsi" w:cstheme="minorHAnsi"/>
                <w:bCs/>
                <w:sz w:val="20"/>
                <w:szCs w:val="20"/>
                <w:lang w:eastAsia="en-ZA"/>
              </w:rPr>
              <w:t>Given the low cash generating ability and the loans from with DBSA, Standard Bank and Absa Bank valued at R668 million, already defaulting during the 2021/22 financial with R 382.1 million, the MMM does not have capacity to take on more debt. A possible renegotiation of the loans would be required.</w:t>
            </w:r>
          </w:p>
        </w:tc>
      </w:tr>
      <w:tr w:rsidR="005A6DBB" w14:paraId="5E2E23E5" w14:textId="77777777" w:rsidTr="005A6DBB">
        <w:trPr>
          <w:trHeight w:val="430"/>
        </w:trPr>
        <w:tc>
          <w:tcPr>
            <w:tcW w:w="0" w:type="auto"/>
            <w:gridSpan w:val="5"/>
            <w:tcBorders>
              <w:top w:val="nil"/>
              <w:left w:val="nil"/>
              <w:bottom w:val="nil"/>
              <w:right w:val="nil"/>
              <w:tl2br w:val="nil"/>
              <w:tr2bl w:val="nil"/>
            </w:tcBorders>
            <w:shd w:val="clear" w:color="auto" w:fill="BED3E4"/>
          </w:tcPr>
          <w:p w14:paraId="4E70F32F" w14:textId="77777777" w:rsidR="005A6DBB" w:rsidRDefault="00F93099">
            <w:pPr>
              <w:rPr>
                <w:rFonts w:asciiTheme="minorHAnsi" w:hAnsiTheme="minorHAnsi" w:cstheme="minorHAnsi"/>
                <w:b/>
                <w:bCs/>
                <w:color w:val="FFFFFF"/>
                <w:sz w:val="20"/>
                <w:szCs w:val="20"/>
                <w:lang w:eastAsia="en-ZA"/>
              </w:rPr>
            </w:pPr>
            <w:r>
              <w:rPr>
                <w:rFonts w:asciiTheme="minorHAnsi" w:hAnsiTheme="minorHAnsi" w:cstheme="minorHAnsi"/>
                <w:b/>
                <w:bCs/>
                <w:sz w:val="20"/>
                <w:szCs w:val="20"/>
                <w:lang w:eastAsia="en-ZA"/>
              </w:rPr>
              <w:t>FINANCIAL PERFORMANCE</w:t>
            </w:r>
          </w:p>
        </w:tc>
      </w:tr>
      <w:tr w:rsidR="005A6DBB" w14:paraId="1CA8874D" w14:textId="77777777" w:rsidTr="005A6DBB">
        <w:trPr>
          <w:trHeight w:val="430"/>
        </w:trPr>
        <w:tc>
          <w:tcPr>
            <w:tcW w:w="0" w:type="auto"/>
            <w:gridSpan w:val="5"/>
            <w:tcBorders>
              <w:top w:val="nil"/>
              <w:left w:val="nil"/>
              <w:bottom w:val="nil"/>
              <w:right w:val="nil"/>
              <w:tl2br w:val="nil"/>
              <w:tr2bl w:val="nil"/>
            </w:tcBorders>
            <w:shd w:val="clear" w:color="auto" w:fill="D4E1ED"/>
          </w:tcPr>
          <w:p w14:paraId="2B23EF85" w14:textId="77777777" w:rsidR="005A6DBB" w:rsidRDefault="00F93099">
            <w:pPr>
              <w:rPr>
                <w:rFonts w:asciiTheme="minorHAnsi" w:hAnsiTheme="minorHAnsi" w:cstheme="minorHAnsi"/>
                <w:b/>
                <w:bCs/>
                <w:color w:val="FFFFFF"/>
                <w:sz w:val="20"/>
                <w:szCs w:val="20"/>
                <w:highlight w:val="yellow"/>
                <w:lang w:eastAsia="en-ZA"/>
              </w:rPr>
            </w:pPr>
            <w:r>
              <w:rPr>
                <w:rFonts w:asciiTheme="minorHAnsi" w:hAnsiTheme="minorHAnsi" w:cstheme="minorHAnsi"/>
                <w:b/>
                <w:bCs/>
                <w:sz w:val="20"/>
                <w:szCs w:val="20"/>
                <w:lang w:eastAsia="en-ZA"/>
              </w:rPr>
              <w:t>Efficiency</w:t>
            </w:r>
          </w:p>
        </w:tc>
      </w:tr>
      <w:tr w:rsidR="005A6DBB" w14:paraId="5D77496D"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085B617A"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Net Operating Margin – measures the net surplus or deficit as a percentage of revenue.</w:t>
            </w:r>
          </w:p>
          <w:p w14:paraId="34B74A41"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The norm is &gt; 0%.</w:t>
            </w:r>
          </w:p>
        </w:tc>
        <w:tc>
          <w:tcPr>
            <w:tcW w:w="0" w:type="auto"/>
            <w:tcBorders>
              <w:top w:val="nil"/>
              <w:bottom w:val="nil"/>
              <w:right w:val="single" w:sz="2" w:space="0" w:color="FFFFFF"/>
              <w:tl2br w:val="nil"/>
              <w:tr2bl w:val="nil"/>
            </w:tcBorders>
            <w:shd w:val="clear" w:color="auto" w:fill="BED3E4"/>
          </w:tcPr>
          <w:p w14:paraId="76A87DA5"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1,78%</w:t>
            </w:r>
          </w:p>
        </w:tc>
        <w:tc>
          <w:tcPr>
            <w:tcW w:w="0" w:type="auto"/>
            <w:tcBorders>
              <w:top w:val="nil"/>
              <w:bottom w:val="nil"/>
              <w:right w:val="single" w:sz="2" w:space="0" w:color="FFFFFF"/>
              <w:tl2br w:val="nil"/>
              <w:tr2bl w:val="nil"/>
            </w:tcBorders>
            <w:shd w:val="clear" w:color="auto" w:fill="BED3E4"/>
          </w:tcPr>
          <w:p w14:paraId="38E92192"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-0,55%</w:t>
            </w:r>
          </w:p>
        </w:tc>
        <w:tc>
          <w:tcPr>
            <w:tcW w:w="0" w:type="auto"/>
            <w:tcBorders>
              <w:top w:val="nil"/>
              <w:bottom w:val="nil"/>
              <w:right w:val="single" w:sz="2" w:space="0" w:color="FFFFFF"/>
              <w:tl2br w:val="nil"/>
              <w:tr2bl w:val="nil"/>
            </w:tcBorders>
            <w:shd w:val="clear" w:color="auto" w:fill="BED3E4"/>
          </w:tcPr>
          <w:p w14:paraId="62B9B6FA" w14:textId="77777777" w:rsidR="005A6DBB" w:rsidRDefault="00F93099">
            <w:pPr>
              <w:jc w:val="center"/>
              <w:rPr>
                <w:rFonts w:asciiTheme="minorHAnsi" w:hAnsiTheme="minorHAnsi" w:cstheme="minorHAnsi"/>
                <w:strike/>
                <w:sz w:val="20"/>
                <w:szCs w:val="20"/>
                <w:lang w:eastAsia="en-ZA"/>
              </w:rPr>
            </w:pPr>
            <w:r>
              <w:rPr>
                <w:rFonts w:asciiTheme="minorHAnsi" w:hAnsiTheme="minorHAnsi" w:cstheme="minorHAnsi"/>
                <w:sz w:val="20"/>
                <w:szCs w:val="20"/>
                <w:lang w:eastAsia="en-ZA"/>
              </w:rPr>
              <w:t>-11,41%</w:t>
            </w:r>
          </w:p>
        </w:tc>
        <w:tc>
          <w:tcPr>
            <w:tcW w:w="0" w:type="auto"/>
            <w:tcBorders>
              <w:top w:val="nil"/>
              <w:bottom w:val="nil"/>
              <w:right w:val="nil"/>
              <w:tl2br w:val="nil"/>
              <w:tr2bl w:val="nil"/>
            </w:tcBorders>
            <w:shd w:val="clear" w:color="auto" w:fill="BED3E4"/>
          </w:tcPr>
          <w:p w14:paraId="09AD85F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net operating margin reflected a small surplus in 2019/20, followed by a small deficit in 2020/21 and a significant deficit in 2021/22.</w:t>
            </w:r>
          </w:p>
          <w:p w14:paraId="60F912D8"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deficits are as a result of bad budgeting and insufficient provision being made in the budget for the provision of the impairment of debtors.</w:t>
            </w:r>
          </w:p>
          <w:p w14:paraId="4E54D89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net operating deficit is confirming the high level of reliance that the Municipality places on National Government support to sustain service delivery.</w:t>
            </w:r>
          </w:p>
          <w:p w14:paraId="2804DBF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Note that the ideal would be for all surpluses to be cash backed.</w:t>
            </w:r>
          </w:p>
        </w:tc>
      </w:tr>
      <w:tr w:rsidR="005A6DBB" w14:paraId="44523D10"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4448CB5D"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 xml:space="preserve">Net Surplus /Deficit Electricity </w:t>
            </w:r>
          </w:p>
          <w:p w14:paraId="37AE96C9"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is 0% - 15%</w:t>
            </w:r>
          </w:p>
        </w:tc>
        <w:tc>
          <w:tcPr>
            <w:tcW w:w="0" w:type="auto"/>
            <w:tcBorders>
              <w:top w:val="nil"/>
              <w:bottom w:val="nil"/>
              <w:right w:val="single" w:sz="2" w:space="0" w:color="FFFFFF"/>
              <w:tl2br w:val="nil"/>
              <w:tr2bl w:val="nil"/>
            </w:tcBorders>
            <w:shd w:val="clear" w:color="auto" w:fill="D4E1ED"/>
          </w:tcPr>
          <w:p w14:paraId="3FDB7B5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30,12%</w:t>
            </w:r>
          </w:p>
        </w:tc>
        <w:tc>
          <w:tcPr>
            <w:tcW w:w="0" w:type="auto"/>
            <w:tcBorders>
              <w:top w:val="nil"/>
              <w:bottom w:val="nil"/>
              <w:right w:val="single" w:sz="2" w:space="0" w:color="FFFFFF"/>
              <w:tl2br w:val="nil"/>
              <w:tr2bl w:val="nil"/>
            </w:tcBorders>
            <w:shd w:val="clear" w:color="auto" w:fill="D4E1ED"/>
          </w:tcPr>
          <w:p w14:paraId="62181FD5"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28,26%</w:t>
            </w:r>
          </w:p>
        </w:tc>
        <w:tc>
          <w:tcPr>
            <w:tcW w:w="0" w:type="auto"/>
            <w:tcBorders>
              <w:top w:val="nil"/>
              <w:bottom w:val="nil"/>
              <w:right w:val="single" w:sz="2" w:space="0" w:color="FFFFFF"/>
              <w:tl2br w:val="nil"/>
              <w:tr2bl w:val="nil"/>
            </w:tcBorders>
            <w:shd w:val="clear" w:color="auto" w:fill="D4E1ED"/>
          </w:tcPr>
          <w:p w14:paraId="528A1D0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22,13%</w:t>
            </w:r>
          </w:p>
        </w:tc>
        <w:tc>
          <w:tcPr>
            <w:tcW w:w="0" w:type="auto"/>
            <w:tcBorders>
              <w:top w:val="nil"/>
              <w:bottom w:val="nil"/>
              <w:right w:val="nil"/>
              <w:tl2br w:val="nil"/>
              <w:tr2bl w:val="nil"/>
            </w:tcBorders>
            <w:shd w:val="clear" w:color="auto" w:fill="D4E1ED"/>
          </w:tcPr>
          <w:p w14:paraId="17893A1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These surpluses are substantially above the norm.</w:t>
            </w:r>
          </w:p>
          <w:p w14:paraId="0685567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If these figures are correct, it could indicate that CENTLEC’s electricity tariffs are set to include a large surplus which could be construed to be a surcharge.</w:t>
            </w:r>
          </w:p>
        </w:tc>
      </w:tr>
      <w:tr w:rsidR="005A6DBB" w14:paraId="71AB1A0C"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21FD6D00"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 xml:space="preserve">Net Surplus /Deficit Water </w:t>
            </w:r>
          </w:p>
          <w:p w14:paraId="124B58D8"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is &gt;=0%</w:t>
            </w:r>
          </w:p>
        </w:tc>
        <w:tc>
          <w:tcPr>
            <w:tcW w:w="0" w:type="auto"/>
            <w:tcBorders>
              <w:top w:val="nil"/>
              <w:bottom w:val="nil"/>
              <w:right w:val="single" w:sz="2" w:space="0" w:color="FFFFFF"/>
              <w:tl2br w:val="nil"/>
              <w:tr2bl w:val="nil"/>
            </w:tcBorders>
            <w:shd w:val="clear" w:color="auto" w:fill="BED3E4"/>
          </w:tcPr>
          <w:p w14:paraId="6F9C00A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8,50%</w:t>
            </w:r>
          </w:p>
        </w:tc>
        <w:tc>
          <w:tcPr>
            <w:tcW w:w="0" w:type="auto"/>
            <w:tcBorders>
              <w:top w:val="nil"/>
              <w:bottom w:val="nil"/>
              <w:right w:val="single" w:sz="2" w:space="0" w:color="FFFFFF"/>
              <w:tl2br w:val="nil"/>
              <w:tr2bl w:val="nil"/>
            </w:tcBorders>
            <w:shd w:val="clear" w:color="auto" w:fill="BED3E4"/>
          </w:tcPr>
          <w:p w14:paraId="4ED1EA9F"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24,97%</w:t>
            </w:r>
          </w:p>
        </w:tc>
        <w:tc>
          <w:tcPr>
            <w:tcW w:w="0" w:type="auto"/>
            <w:tcBorders>
              <w:top w:val="nil"/>
              <w:bottom w:val="nil"/>
              <w:right w:val="single" w:sz="2" w:space="0" w:color="FFFFFF"/>
              <w:tl2br w:val="nil"/>
              <w:tr2bl w:val="nil"/>
            </w:tcBorders>
            <w:shd w:val="clear" w:color="auto" w:fill="BED3E4"/>
          </w:tcPr>
          <w:p w14:paraId="6622BB9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21,17%</w:t>
            </w:r>
          </w:p>
        </w:tc>
        <w:tc>
          <w:tcPr>
            <w:tcW w:w="0" w:type="auto"/>
            <w:tcBorders>
              <w:top w:val="nil"/>
              <w:bottom w:val="nil"/>
              <w:right w:val="nil"/>
              <w:tl2br w:val="nil"/>
              <w:tr2bl w:val="nil"/>
            </w:tcBorders>
            <w:shd w:val="clear" w:color="auto" w:fill="BED3E4"/>
          </w:tcPr>
          <w:p w14:paraId="5D8363E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These surpluses are substantially above the norm.</w:t>
            </w:r>
          </w:p>
          <w:p w14:paraId="149D4D4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If these figures are correct, it could indicate that MMM’s water tariffs are set to include a large surplus which could be construed to be a surcharge.</w:t>
            </w:r>
          </w:p>
        </w:tc>
      </w:tr>
      <w:tr w:rsidR="005A6DBB" w14:paraId="19036FAF" w14:textId="77777777" w:rsidTr="005A6DBB">
        <w:trPr>
          <w:trHeight w:val="430"/>
        </w:trPr>
        <w:tc>
          <w:tcPr>
            <w:tcW w:w="0" w:type="auto"/>
            <w:gridSpan w:val="5"/>
            <w:tcBorders>
              <w:top w:val="nil"/>
              <w:left w:val="nil"/>
              <w:bottom w:val="nil"/>
              <w:right w:val="nil"/>
              <w:tl2br w:val="nil"/>
              <w:tr2bl w:val="nil"/>
            </w:tcBorders>
            <w:shd w:val="clear" w:color="auto" w:fill="D4E1ED"/>
          </w:tcPr>
          <w:p w14:paraId="4C133C77" w14:textId="77777777" w:rsidR="005A6DBB" w:rsidRDefault="00F93099">
            <w:pPr>
              <w:rPr>
                <w:rFonts w:asciiTheme="minorHAnsi" w:hAnsiTheme="minorHAnsi" w:cstheme="minorHAnsi"/>
                <w:b/>
                <w:bCs/>
                <w:color w:val="FFFFFF"/>
                <w:sz w:val="20"/>
                <w:szCs w:val="20"/>
                <w:highlight w:val="yellow"/>
                <w:lang w:eastAsia="en-ZA"/>
              </w:rPr>
            </w:pPr>
            <w:r>
              <w:rPr>
                <w:rFonts w:asciiTheme="minorHAnsi" w:hAnsiTheme="minorHAnsi" w:cstheme="minorHAnsi"/>
                <w:b/>
                <w:bCs/>
                <w:sz w:val="20"/>
                <w:szCs w:val="20"/>
                <w:lang w:eastAsia="en-ZA"/>
              </w:rPr>
              <w:t>Distribution Losses</w:t>
            </w:r>
          </w:p>
        </w:tc>
      </w:tr>
      <w:tr w:rsidR="005A6DBB" w14:paraId="192BE97A"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33E046DF"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Electricity Distribution Losses (%)</w:t>
            </w:r>
          </w:p>
          <w:p w14:paraId="3E0B98A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norm is 7% - 10%. </w:t>
            </w:r>
          </w:p>
        </w:tc>
        <w:tc>
          <w:tcPr>
            <w:tcW w:w="0" w:type="auto"/>
            <w:tcBorders>
              <w:top w:val="nil"/>
              <w:bottom w:val="nil"/>
              <w:right w:val="single" w:sz="2" w:space="0" w:color="FFFFFF"/>
              <w:tl2br w:val="nil"/>
              <w:tr2bl w:val="nil"/>
            </w:tcBorders>
            <w:shd w:val="clear" w:color="auto" w:fill="BED3E4"/>
          </w:tcPr>
          <w:p w14:paraId="5DEB142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8,04%</w:t>
            </w:r>
          </w:p>
        </w:tc>
        <w:tc>
          <w:tcPr>
            <w:tcW w:w="0" w:type="auto"/>
            <w:tcBorders>
              <w:top w:val="nil"/>
              <w:bottom w:val="nil"/>
              <w:right w:val="single" w:sz="2" w:space="0" w:color="FFFFFF"/>
              <w:tl2br w:val="nil"/>
              <w:tr2bl w:val="nil"/>
            </w:tcBorders>
            <w:shd w:val="clear" w:color="auto" w:fill="BED3E4"/>
          </w:tcPr>
          <w:p w14:paraId="1E70264F"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10,05%</w:t>
            </w:r>
          </w:p>
        </w:tc>
        <w:tc>
          <w:tcPr>
            <w:tcW w:w="0" w:type="auto"/>
            <w:tcBorders>
              <w:top w:val="nil"/>
              <w:bottom w:val="nil"/>
              <w:right w:val="single" w:sz="2" w:space="0" w:color="FFFFFF"/>
              <w:tl2br w:val="nil"/>
              <w:tr2bl w:val="nil"/>
            </w:tcBorders>
            <w:shd w:val="clear" w:color="auto" w:fill="BED3E4"/>
          </w:tcPr>
          <w:p w14:paraId="4F7A62E4"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10,96%</w:t>
            </w:r>
          </w:p>
        </w:tc>
        <w:tc>
          <w:tcPr>
            <w:tcW w:w="0" w:type="auto"/>
            <w:tcBorders>
              <w:top w:val="nil"/>
              <w:bottom w:val="nil"/>
              <w:right w:val="nil"/>
              <w:tl2br w:val="nil"/>
              <w:tr2bl w:val="nil"/>
            </w:tcBorders>
            <w:shd w:val="clear" w:color="auto" w:fill="BED3E4"/>
          </w:tcPr>
          <w:p w14:paraId="2530958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Electricity Distribution losses for all three financial years are either within the norm or slightly higher. </w:t>
            </w:r>
          </w:p>
          <w:p w14:paraId="53E52792" w14:textId="77777777" w:rsidR="005A6DBB" w:rsidRDefault="00F93099">
            <w:pPr>
              <w:rPr>
                <w:rFonts w:asciiTheme="minorHAnsi" w:hAnsiTheme="minorHAnsi" w:cstheme="minorHAnsi"/>
                <w:sz w:val="20"/>
                <w:szCs w:val="20"/>
                <w:highlight w:val="yellow"/>
                <w:lang w:eastAsia="en-ZA"/>
              </w:rPr>
            </w:pPr>
            <w:r>
              <w:rPr>
                <w:rFonts w:asciiTheme="minorHAnsi" w:hAnsiTheme="minorHAnsi" w:cstheme="minorHAnsi"/>
                <w:sz w:val="20"/>
                <w:szCs w:val="20"/>
                <w:lang w:eastAsia="en-ZA"/>
              </w:rPr>
              <w:t>High electricity distribution losses can be attributed to aged infrastructure and unmetered connections and theft, which should be investigated.</w:t>
            </w:r>
          </w:p>
        </w:tc>
      </w:tr>
      <w:tr w:rsidR="005A6DBB" w14:paraId="24AC825D"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44A8B434"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Water Distribution Losses (%)</w:t>
            </w:r>
          </w:p>
          <w:p w14:paraId="1716024A" w14:textId="77777777" w:rsidR="005A6DBB" w:rsidRDefault="00F93099">
            <w:pPr>
              <w:rPr>
                <w:rFonts w:asciiTheme="minorHAnsi" w:hAnsiTheme="minorHAnsi" w:cstheme="minorHAnsi"/>
                <w:bCs/>
                <w:sz w:val="20"/>
                <w:szCs w:val="20"/>
                <w:lang w:eastAsia="en-ZA"/>
              </w:rPr>
            </w:pPr>
            <w:r>
              <w:rPr>
                <w:rFonts w:asciiTheme="minorHAnsi" w:hAnsiTheme="minorHAnsi" w:cstheme="minorHAnsi"/>
                <w:bCs/>
                <w:sz w:val="20"/>
                <w:szCs w:val="20"/>
                <w:lang w:eastAsia="en-ZA"/>
              </w:rPr>
              <w:t>The norm is 15% - 30%.</w:t>
            </w:r>
          </w:p>
        </w:tc>
        <w:tc>
          <w:tcPr>
            <w:tcW w:w="0" w:type="auto"/>
            <w:tcBorders>
              <w:top w:val="nil"/>
              <w:bottom w:val="nil"/>
              <w:right w:val="single" w:sz="2" w:space="0" w:color="FFFFFF"/>
              <w:tl2br w:val="nil"/>
              <w:tr2bl w:val="nil"/>
            </w:tcBorders>
            <w:shd w:val="clear" w:color="auto" w:fill="D4E1ED"/>
          </w:tcPr>
          <w:p w14:paraId="42628AB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41,00%</w:t>
            </w:r>
          </w:p>
        </w:tc>
        <w:tc>
          <w:tcPr>
            <w:tcW w:w="0" w:type="auto"/>
            <w:tcBorders>
              <w:top w:val="nil"/>
              <w:bottom w:val="nil"/>
              <w:right w:val="single" w:sz="2" w:space="0" w:color="FFFFFF"/>
              <w:tl2br w:val="nil"/>
              <w:tr2bl w:val="nil"/>
            </w:tcBorders>
            <w:shd w:val="clear" w:color="auto" w:fill="D4E1ED"/>
          </w:tcPr>
          <w:p w14:paraId="5970E41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45,00%</w:t>
            </w:r>
          </w:p>
        </w:tc>
        <w:tc>
          <w:tcPr>
            <w:tcW w:w="0" w:type="auto"/>
            <w:tcBorders>
              <w:top w:val="nil"/>
              <w:bottom w:val="nil"/>
              <w:right w:val="single" w:sz="2" w:space="0" w:color="FFFFFF"/>
              <w:tl2br w:val="nil"/>
              <w:tr2bl w:val="nil"/>
            </w:tcBorders>
            <w:shd w:val="clear" w:color="auto" w:fill="D4E1ED"/>
          </w:tcPr>
          <w:p w14:paraId="5AEB8DD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45,00%</w:t>
            </w:r>
          </w:p>
        </w:tc>
        <w:tc>
          <w:tcPr>
            <w:tcW w:w="0" w:type="auto"/>
            <w:tcBorders>
              <w:top w:val="nil"/>
              <w:bottom w:val="nil"/>
              <w:right w:val="nil"/>
              <w:tl2br w:val="nil"/>
              <w:tr2bl w:val="nil"/>
            </w:tcBorders>
            <w:shd w:val="clear" w:color="auto" w:fill="D4E1ED"/>
          </w:tcPr>
          <w:p w14:paraId="19AC52A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water distribution losses are significantly high and above the norm for all 3 financial years. </w:t>
            </w:r>
          </w:p>
          <w:p w14:paraId="02EAE42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High water distribution losses can be attributed to aged infrastructure and unmetered connections and theft, which should be investigated.</w:t>
            </w:r>
          </w:p>
          <w:p w14:paraId="0840453A" w14:textId="77777777" w:rsidR="005A6DBB" w:rsidRDefault="00F93099">
            <w:pPr>
              <w:rPr>
                <w:rFonts w:asciiTheme="minorHAnsi" w:hAnsiTheme="minorHAnsi" w:cstheme="minorHAnsi"/>
                <w:sz w:val="20"/>
                <w:szCs w:val="20"/>
                <w:highlight w:val="green"/>
                <w:lang w:eastAsia="en-ZA"/>
              </w:rPr>
            </w:pPr>
            <w:r>
              <w:rPr>
                <w:rFonts w:asciiTheme="minorHAnsi" w:hAnsiTheme="minorHAnsi" w:cstheme="minorHAnsi"/>
                <w:sz w:val="20"/>
                <w:szCs w:val="20"/>
                <w:lang w:eastAsia="en-ZA"/>
              </w:rPr>
              <w:t>These losses are contributing to the financial challenges being experienced by the Municipality and mitigation strategies need to be developed and implemented to reduce losses.</w:t>
            </w:r>
          </w:p>
        </w:tc>
      </w:tr>
      <w:tr w:rsidR="005A6DBB" w14:paraId="0FF40B6D" w14:textId="77777777" w:rsidTr="005A6DBB">
        <w:trPr>
          <w:trHeight w:val="430"/>
        </w:trPr>
        <w:tc>
          <w:tcPr>
            <w:tcW w:w="0" w:type="auto"/>
            <w:gridSpan w:val="5"/>
            <w:tcBorders>
              <w:top w:val="nil"/>
              <w:left w:val="nil"/>
              <w:bottom w:val="nil"/>
              <w:right w:val="nil"/>
              <w:tl2br w:val="nil"/>
              <w:tr2bl w:val="nil"/>
            </w:tcBorders>
            <w:shd w:val="clear" w:color="auto" w:fill="BED3E4"/>
          </w:tcPr>
          <w:p w14:paraId="0911EE6A" w14:textId="77777777" w:rsidR="005A6DBB" w:rsidRDefault="00F93099">
            <w:pPr>
              <w:rPr>
                <w:rFonts w:asciiTheme="minorHAnsi" w:hAnsiTheme="minorHAnsi" w:cstheme="minorHAnsi"/>
                <w:b/>
                <w:bCs/>
                <w:sz w:val="20"/>
                <w:szCs w:val="20"/>
                <w:highlight w:val="yellow"/>
                <w:lang w:eastAsia="en-ZA"/>
              </w:rPr>
            </w:pPr>
            <w:r>
              <w:rPr>
                <w:rFonts w:asciiTheme="minorHAnsi" w:hAnsiTheme="minorHAnsi" w:cstheme="minorHAnsi"/>
                <w:b/>
                <w:bCs/>
                <w:sz w:val="20"/>
                <w:szCs w:val="20"/>
                <w:lang w:eastAsia="en-ZA"/>
              </w:rPr>
              <w:t>Revenue Management</w:t>
            </w:r>
          </w:p>
        </w:tc>
      </w:tr>
      <w:tr w:rsidR="005A6DBB" w14:paraId="75C4B034"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2067053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Revenue Growth (%) – measures the growth in revenue year on year. </w:t>
            </w:r>
          </w:p>
          <w:p w14:paraId="2B3EE78E"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norm is =CPI.</w:t>
            </w:r>
          </w:p>
        </w:tc>
        <w:tc>
          <w:tcPr>
            <w:tcW w:w="0" w:type="auto"/>
            <w:tcBorders>
              <w:top w:val="nil"/>
              <w:bottom w:val="nil"/>
              <w:right w:val="single" w:sz="2" w:space="0" w:color="FFFFFF"/>
              <w:tl2br w:val="nil"/>
              <w:tr2bl w:val="nil"/>
            </w:tcBorders>
            <w:shd w:val="clear" w:color="auto" w:fill="D4E1ED"/>
          </w:tcPr>
          <w:p w14:paraId="2745FE0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5,15%</w:t>
            </w:r>
          </w:p>
          <w:p w14:paraId="432E2C2A" w14:textId="77777777" w:rsidR="005A6DBB" w:rsidRDefault="005A6DBB">
            <w:pPr>
              <w:jc w:val="center"/>
              <w:rPr>
                <w:rFonts w:asciiTheme="minorHAnsi" w:hAnsiTheme="minorHAnsi" w:cstheme="minorHAnsi"/>
                <w:sz w:val="20"/>
                <w:szCs w:val="20"/>
                <w:lang w:eastAsia="en-ZA"/>
              </w:rPr>
            </w:pPr>
          </w:p>
          <w:p w14:paraId="5D61278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733552B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3.3%</w:t>
            </w:r>
          </w:p>
        </w:tc>
        <w:tc>
          <w:tcPr>
            <w:tcW w:w="0" w:type="auto"/>
            <w:tcBorders>
              <w:top w:val="nil"/>
              <w:bottom w:val="nil"/>
              <w:right w:val="single" w:sz="2" w:space="0" w:color="FFFFFF"/>
              <w:tl2br w:val="nil"/>
              <w:tr2bl w:val="nil"/>
            </w:tcBorders>
            <w:shd w:val="clear" w:color="auto" w:fill="D4E1ED"/>
          </w:tcPr>
          <w:p w14:paraId="5FB3CC1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2,06%</w:t>
            </w:r>
          </w:p>
          <w:p w14:paraId="0FA96773" w14:textId="77777777" w:rsidR="005A6DBB" w:rsidRDefault="005A6DBB">
            <w:pPr>
              <w:jc w:val="center"/>
              <w:rPr>
                <w:rFonts w:asciiTheme="minorHAnsi" w:hAnsiTheme="minorHAnsi" w:cstheme="minorHAnsi"/>
                <w:sz w:val="20"/>
                <w:szCs w:val="20"/>
                <w:lang w:eastAsia="en-ZA"/>
              </w:rPr>
            </w:pPr>
          </w:p>
          <w:p w14:paraId="70F2592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1C52233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4.9%</w:t>
            </w:r>
          </w:p>
        </w:tc>
        <w:tc>
          <w:tcPr>
            <w:tcW w:w="0" w:type="auto"/>
            <w:tcBorders>
              <w:top w:val="nil"/>
              <w:bottom w:val="nil"/>
              <w:right w:val="single" w:sz="2" w:space="0" w:color="FFFFFF"/>
              <w:tl2br w:val="nil"/>
              <w:tr2bl w:val="nil"/>
            </w:tcBorders>
            <w:shd w:val="clear" w:color="auto" w:fill="D4E1ED"/>
          </w:tcPr>
          <w:p w14:paraId="161E32A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8,69%</w:t>
            </w:r>
          </w:p>
          <w:p w14:paraId="1F88F3B3" w14:textId="77777777" w:rsidR="005A6DBB" w:rsidRDefault="005A6DBB">
            <w:pPr>
              <w:jc w:val="center"/>
              <w:rPr>
                <w:rFonts w:asciiTheme="minorHAnsi" w:hAnsiTheme="minorHAnsi" w:cstheme="minorHAnsi"/>
                <w:sz w:val="20"/>
                <w:szCs w:val="20"/>
                <w:lang w:eastAsia="en-ZA"/>
              </w:rPr>
            </w:pPr>
          </w:p>
          <w:p w14:paraId="63F9F01E"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067DA3CA"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6.9%</w:t>
            </w:r>
          </w:p>
        </w:tc>
        <w:tc>
          <w:tcPr>
            <w:tcW w:w="0" w:type="auto"/>
            <w:tcBorders>
              <w:top w:val="nil"/>
              <w:bottom w:val="nil"/>
              <w:right w:val="nil"/>
              <w:tl2br w:val="nil"/>
              <w:tr2bl w:val="nil"/>
            </w:tcBorders>
            <w:shd w:val="clear" w:color="auto" w:fill="D4E1ED"/>
          </w:tcPr>
          <w:p w14:paraId="1D013DA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Revenue growth reflects an improvement over the last financial year, with the growth rate above inflation. </w:t>
            </w:r>
          </w:p>
          <w:p w14:paraId="53A6C4C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2020/21 growth rate was positive however below the CPI norm for the year.</w:t>
            </w:r>
          </w:p>
          <w:p w14:paraId="3FD8A87E"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Ideally this growth should be from direct economic development growth and growth in revenue excluding tariff increases.</w:t>
            </w:r>
          </w:p>
        </w:tc>
      </w:tr>
      <w:tr w:rsidR="005A6DBB" w14:paraId="32B19C7E"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15A8B135" w14:textId="77777777" w:rsidR="005A6DBB" w:rsidRDefault="00F93099">
            <w:pPr>
              <w:rPr>
                <w:rFonts w:asciiTheme="minorHAnsi" w:hAnsiTheme="minorHAnsi" w:cstheme="minorHAnsi"/>
                <w:b/>
                <w:sz w:val="20"/>
                <w:szCs w:val="20"/>
                <w:lang w:eastAsia="en-ZA"/>
              </w:rPr>
            </w:pPr>
            <w:r>
              <w:rPr>
                <w:rFonts w:asciiTheme="minorHAnsi" w:hAnsiTheme="minorHAnsi" w:cstheme="minorHAnsi"/>
                <w:bCs/>
                <w:sz w:val="20"/>
                <w:szCs w:val="20"/>
                <w:lang w:eastAsia="en-ZA"/>
              </w:rPr>
              <w:t>Revenue Growth (%) - Excluding Capital Grants -</w:t>
            </w:r>
            <w:r>
              <w:rPr>
                <w:rFonts w:asciiTheme="minorHAnsi" w:hAnsiTheme="minorHAnsi" w:cstheme="minorHAnsi"/>
                <w:sz w:val="20"/>
                <w:szCs w:val="20"/>
                <w:lang w:eastAsia="en-ZA"/>
              </w:rPr>
              <w:t xml:space="preserve"> measures the growth in revenue excluding capital grants year on year.</w:t>
            </w:r>
          </w:p>
          <w:p w14:paraId="03A2EA8A"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 xml:space="preserve">The norm is =CPI. </w:t>
            </w:r>
          </w:p>
        </w:tc>
        <w:tc>
          <w:tcPr>
            <w:tcW w:w="0" w:type="auto"/>
            <w:tcBorders>
              <w:top w:val="nil"/>
              <w:bottom w:val="nil"/>
              <w:right w:val="single" w:sz="2" w:space="0" w:color="FFFFFF"/>
              <w:tl2br w:val="nil"/>
              <w:tr2bl w:val="nil"/>
            </w:tcBorders>
            <w:shd w:val="clear" w:color="auto" w:fill="BED3E4"/>
          </w:tcPr>
          <w:p w14:paraId="1C0C710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4,15%</w:t>
            </w:r>
          </w:p>
          <w:p w14:paraId="2458B232" w14:textId="77777777" w:rsidR="005A6DBB" w:rsidRDefault="005A6DBB">
            <w:pPr>
              <w:jc w:val="center"/>
              <w:rPr>
                <w:rFonts w:asciiTheme="minorHAnsi" w:hAnsiTheme="minorHAnsi" w:cstheme="minorHAnsi"/>
                <w:sz w:val="20"/>
                <w:szCs w:val="20"/>
                <w:lang w:eastAsia="en-ZA"/>
              </w:rPr>
            </w:pPr>
          </w:p>
          <w:p w14:paraId="79B8F8C9"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482D21F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3.3%</w:t>
            </w:r>
          </w:p>
        </w:tc>
        <w:tc>
          <w:tcPr>
            <w:tcW w:w="0" w:type="auto"/>
            <w:tcBorders>
              <w:top w:val="nil"/>
              <w:bottom w:val="nil"/>
              <w:right w:val="single" w:sz="2" w:space="0" w:color="FFFFFF"/>
              <w:tl2br w:val="nil"/>
              <w:tr2bl w:val="nil"/>
            </w:tcBorders>
            <w:shd w:val="clear" w:color="auto" w:fill="BED3E4"/>
          </w:tcPr>
          <w:p w14:paraId="067BFC3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(2,07%)</w:t>
            </w:r>
          </w:p>
          <w:p w14:paraId="5D86648C" w14:textId="77777777" w:rsidR="005A6DBB" w:rsidRDefault="005A6DBB">
            <w:pPr>
              <w:jc w:val="center"/>
              <w:rPr>
                <w:rFonts w:asciiTheme="minorHAnsi" w:hAnsiTheme="minorHAnsi" w:cstheme="minorHAnsi"/>
                <w:sz w:val="20"/>
                <w:szCs w:val="20"/>
                <w:lang w:eastAsia="en-ZA"/>
              </w:rPr>
            </w:pPr>
          </w:p>
          <w:p w14:paraId="07CC480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42F3B6A4"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4.9%</w:t>
            </w:r>
          </w:p>
        </w:tc>
        <w:tc>
          <w:tcPr>
            <w:tcW w:w="0" w:type="auto"/>
            <w:tcBorders>
              <w:top w:val="nil"/>
              <w:bottom w:val="nil"/>
              <w:right w:val="single" w:sz="2" w:space="0" w:color="FFFFFF"/>
              <w:tl2br w:val="nil"/>
              <w:tr2bl w:val="nil"/>
            </w:tcBorders>
            <w:shd w:val="clear" w:color="auto" w:fill="BED3E4"/>
          </w:tcPr>
          <w:p w14:paraId="1AB28EB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8,20%</w:t>
            </w:r>
          </w:p>
          <w:p w14:paraId="4F19D3DA" w14:textId="77777777" w:rsidR="005A6DBB" w:rsidRDefault="005A6DBB">
            <w:pPr>
              <w:jc w:val="center"/>
              <w:rPr>
                <w:rFonts w:asciiTheme="minorHAnsi" w:hAnsiTheme="minorHAnsi" w:cstheme="minorHAnsi"/>
                <w:sz w:val="20"/>
                <w:szCs w:val="20"/>
                <w:lang w:eastAsia="en-ZA"/>
              </w:rPr>
            </w:pPr>
          </w:p>
          <w:p w14:paraId="2CE13614"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CPI</w:t>
            </w:r>
          </w:p>
          <w:p w14:paraId="56E4559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6.9%</w:t>
            </w:r>
          </w:p>
        </w:tc>
        <w:tc>
          <w:tcPr>
            <w:tcW w:w="0" w:type="auto"/>
            <w:tcBorders>
              <w:top w:val="nil"/>
              <w:bottom w:val="nil"/>
              <w:right w:val="nil"/>
              <w:tl2br w:val="nil"/>
              <w:tr2bl w:val="nil"/>
            </w:tcBorders>
            <w:shd w:val="clear" w:color="auto" w:fill="BED3E4"/>
          </w:tcPr>
          <w:p w14:paraId="10B5324B"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Revenue excluding capital grants reflected a reliance on grants for 2020/21 financial year with a negative growth which could be attributed to COVID and grant dependency. However, there was growth in the 2019/20 and 2021/22 financial years. </w:t>
            </w:r>
          </w:p>
          <w:p w14:paraId="12571AF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Ideally this growth should be from direct economic development growth and growth in revenue excluding tariff increases.</w:t>
            </w:r>
          </w:p>
        </w:tc>
      </w:tr>
      <w:tr w:rsidR="005A6DBB" w14:paraId="7B2139D2" w14:textId="77777777" w:rsidTr="005A6DBB">
        <w:trPr>
          <w:trHeight w:val="430"/>
        </w:trPr>
        <w:tc>
          <w:tcPr>
            <w:tcW w:w="0" w:type="auto"/>
            <w:gridSpan w:val="5"/>
            <w:tcBorders>
              <w:top w:val="nil"/>
              <w:left w:val="nil"/>
              <w:bottom w:val="nil"/>
              <w:right w:val="nil"/>
              <w:tl2br w:val="nil"/>
              <w:tr2bl w:val="nil"/>
            </w:tcBorders>
            <w:shd w:val="clear" w:color="auto" w:fill="D4E1ED"/>
          </w:tcPr>
          <w:p w14:paraId="62CD5ACC" w14:textId="77777777" w:rsidR="005A6DBB" w:rsidRDefault="00F93099">
            <w:pPr>
              <w:rPr>
                <w:rFonts w:asciiTheme="minorHAnsi" w:hAnsiTheme="minorHAnsi" w:cstheme="minorHAnsi"/>
                <w:b/>
                <w:bCs/>
                <w:sz w:val="20"/>
                <w:szCs w:val="20"/>
                <w:highlight w:val="yellow"/>
                <w:lang w:eastAsia="en-ZA"/>
              </w:rPr>
            </w:pPr>
            <w:r>
              <w:rPr>
                <w:rFonts w:asciiTheme="minorHAnsi" w:hAnsiTheme="minorHAnsi" w:cstheme="minorHAnsi"/>
                <w:b/>
                <w:bCs/>
                <w:sz w:val="20"/>
                <w:szCs w:val="20"/>
                <w:lang w:eastAsia="en-ZA"/>
              </w:rPr>
              <w:t>Expenditure Management</w:t>
            </w:r>
          </w:p>
        </w:tc>
      </w:tr>
      <w:tr w:rsidR="005A6DBB" w14:paraId="57617DD2"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44B414D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Creditors Payment Period</w:t>
            </w:r>
          </w:p>
          <w:p w14:paraId="4B905725"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ratio indicates the average number of days taken for trade creditors to be paid.</w:t>
            </w:r>
          </w:p>
          <w:p w14:paraId="7B6BF483"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sz w:val="20"/>
                <w:szCs w:val="20"/>
                <w:lang w:eastAsia="en-ZA"/>
              </w:rPr>
              <w:t>The norm is 30 days.</w:t>
            </w:r>
          </w:p>
        </w:tc>
        <w:tc>
          <w:tcPr>
            <w:tcW w:w="0" w:type="auto"/>
            <w:tcBorders>
              <w:top w:val="nil"/>
              <w:bottom w:val="nil"/>
              <w:right w:val="single" w:sz="2" w:space="0" w:color="FFFFFF"/>
              <w:tl2br w:val="nil"/>
              <w:tr2bl w:val="nil"/>
            </w:tcBorders>
            <w:shd w:val="clear" w:color="auto" w:fill="BED3E4"/>
          </w:tcPr>
          <w:p w14:paraId="7790502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143,28 days</w:t>
            </w:r>
          </w:p>
        </w:tc>
        <w:tc>
          <w:tcPr>
            <w:tcW w:w="0" w:type="auto"/>
            <w:tcBorders>
              <w:top w:val="nil"/>
              <w:bottom w:val="nil"/>
              <w:right w:val="single" w:sz="2" w:space="0" w:color="FFFFFF"/>
              <w:tl2br w:val="nil"/>
              <w:tr2bl w:val="nil"/>
            </w:tcBorders>
            <w:shd w:val="clear" w:color="auto" w:fill="BED3E4"/>
          </w:tcPr>
          <w:p w14:paraId="765EFCA5"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130,88 days</w:t>
            </w:r>
          </w:p>
        </w:tc>
        <w:tc>
          <w:tcPr>
            <w:tcW w:w="0" w:type="auto"/>
            <w:tcBorders>
              <w:top w:val="nil"/>
              <w:bottom w:val="nil"/>
              <w:right w:val="single" w:sz="2" w:space="0" w:color="FFFFFF"/>
              <w:tl2br w:val="nil"/>
              <w:tr2bl w:val="nil"/>
            </w:tcBorders>
            <w:shd w:val="clear" w:color="auto" w:fill="BED3E4"/>
          </w:tcPr>
          <w:p w14:paraId="350F2D1E"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114,73 days</w:t>
            </w:r>
          </w:p>
        </w:tc>
        <w:tc>
          <w:tcPr>
            <w:tcW w:w="0" w:type="auto"/>
            <w:tcBorders>
              <w:top w:val="nil"/>
              <w:bottom w:val="nil"/>
              <w:right w:val="nil"/>
              <w:tl2br w:val="nil"/>
              <w:tr2bl w:val="nil"/>
            </w:tcBorders>
            <w:shd w:val="clear" w:color="auto" w:fill="BED3E4"/>
          </w:tcPr>
          <w:p w14:paraId="2242B66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creditor payment period has been declining over the 3 year period.</w:t>
            </w:r>
          </w:p>
          <w:p w14:paraId="745BA95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However, the days are in excess of the norm indicating that suppliers are not being paid within 30 days.</w:t>
            </w:r>
          </w:p>
          <w:p w14:paraId="7B7B487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is consistent with the cash flow challenges being experienced by the Municipality.</w:t>
            </w:r>
          </w:p>
          <w:p w14:paraId="4398C8F0"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may also be as a result of inadequate payment processes and related controls, disputes and delays in the processing of payments or cash flow challenges, as indicated above.</w:t>
            </w:r>
          </w:p>
        </w:tc>
      </w:tr>
      <w:tr w:rsidR="005A6DBB" w14:paraId="25591D6A" w14:textId="77777777" w:rsidTr="005A6DBB">
        <w:trPr>
          <w:trHeight w:val="1048"/>
        </w:trPr>
        <w:tc>
          <w:tcPr>
            <w:tcW w:w="0" w:type="auto"/>
            <w:tcBorders>
              <w:top w:val="nil"/>
              <w:left w:val="nil"/>
              <w:bottom w:val="nil"/>
              <w:right w:val="single" w:sz="2" w:space="0" w:color="FFFFFF"/>
              <w:tl2br w:val="nil"/>
              <w:tr2bl w:val="nil"/>
            </w:tcBorders>
            <w:shd w:val="clear" w:color="auto" w:fill="D4E1ED"/>
            <w:vAlign w:val="center"/>
          </w:tcPr>
          <w:p w14:paraId="5224CAF0" w14:textId="77777777" w:rsidR="005A6DBB" w:rsidRDefault="00F93099">
            <w:pPr>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Irregular, Fruitless and Wasteful and Unauthorised Expenditure to Total Expenditure – this ratio measures the extent of irregular, fruitless and wasteful and unauthorised expenditure to total expenditure. </w:t>
            </w:r>
          </w:p>
          <w:p w14:paraId="688A375F" w14:textId="77777777" w:rsidR="005A6DBB" w:rsidRDefault="00F93099">
            <w:pPr>
              <w:jc w:val="left"/>
              <w:rPr>
                <w:rFonts w:asciiTheme="minorHAnsi" w:hAnsiTheme="minorHAnsi" w:cstheme="minorHAnsi"/>
                <w:b/>
                <w:bCs/>
                <w:sz w:val="20"/>
                <w:szCs w:val="20"/>
                <w:highlight w:val="green"/>
                <w:lang w:eastAsia="en-ZA"/>
              </w:rPr>
            </w:pPr>
            <w:r>
              <w:rPr>
                <w:rFonts w:asciiTheme="minorHAnsi" w:hAnsiTheme="minorHAnsi" w:cstheme="minorHAnsi"/>
                <w:b/>
                <w:bCs/>
                <w:sz w:val="20"/>
                <w:szCs w:val="20"/>
                <w:lang w:eastAsia="en-ZA"/>
              </w:rPr>
              <w:t>The norm is 0%.</w:t>
            </w:r>
          </w:p>
        </w:tc>
        <w:tc>
          <w:tcPr>
            <w:tcW w:w="0" w:type="auto"/>
            <w:tcBorders>
              <w:top w:val="nil"/>
              <w:bottom w:val="nil"/>
              <w:right w:val="single" w:sz="2" w:space="0" w:color="FFFFFF"/>
              <w:tl2br w:val="nil"/>
              <w:tr2bl w:val="nil"/>
            </w:tcBorders>
            <w:shd w:val="clear" w:color="auto" w:fill="D4E1ED"/>
            <w:vAlign w:val="center"/>
          </w:tcPr>
          <w:p w14:paraId="197B1DB7"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90,23%</w:t>
            </w:r>
          </w:p>
        </w:tc>
        <w:tc>
          <w:tcPr>
            <w:tcW w:w="0" w:type="auto"/>
            <w:tcBorders>
              <w:top w:val="nil"/>
              <w:bottom w:val="nil"/>
              <w:right w:val="single" w:sz="2" w:space="0" w:color="FFFFFF"/>
              <w:tl2br w:val="nil"/>
              <w:tr2bl w:val="nil"/>
            </w:tcBorders>
            <w:shd w:val="clear" w:color="auto" w:fill="D4E1ED"/>
            <w:vAlign w:val="center"/>
          </w:tcPr>
          <w:p w14:paraId="232FC608"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93,69%</w:t>
            </w:r>
          </w:p>
        </w:tc>
        <w:tc>
          <w:tcPr>
            <w:tcW w:w="0" w:type="auto"/>
            <w:tcBorders>
              <w:top w:val="nil"/>
              <w:bottom w:val="nil"/>
              <w:right w:val="single" w:sz="2" w:space="0" w:color="FFFFFF"/>
              <w:tl2br w:val="nil"/>
              <w:tr2bl w:val="nil"/>
            </w:tcBorders>
            <w:shd w:val="clear" w:color="auto" w:fill="D4E1ED"/>
            <w:vAlign w:val="center"/>
          </w:tcPr>
          <w:p w14:paraId="7ACCDE7E"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96,40%</w:t>
            </w:r>
          </w:p>
        </w:tc>
        <w:tc>
          <w:tcPr>
            <w:tcW w:w="0" w:type="auto"/>
            <w:tcBorders>
              <w:top w:val="nil"/>
              <w:bottom w:val="nil"/>
              <w:right w:val="nil"/>
              <w:tl2br w:val="nil"/>
              <w:tr2bl w:val="nil"/>
            </w:tcBorders>
            <w:shd w:val="clear" w:color="auto" w:fill="D4E1ED"/>
          </w:tcPr>
          <w:p w14:paraId="208093D1" w14:textId="77777777" w:rsidR="005A6DBB" w:rsidRDefault="00F93099">
            <w:pPr>
              <w:jc w:val="left"/>
              <w:rPr>
                <w:rFonts w:asciiTheme="minorHAnsi" w:hAnsiTheme="minorHAnsi" w:cstheme="minorHAnsi"/>
                <w:sz w:val="20"/>
                <w:szCs w:val="20"/>
                <w:lang w:eastAsia="en-ZA"/>
              </w:rPr>
            </w:pPr>
            <w:r>
              <w:rPr>
                <w:rFonts w:asciiTheme="minorHAnsi" w:hAnsiTheme="minorHAnsi" w:cstheme="minorHAnsi"/>
                <w:sz w:val="20"/>
                <w:szCs w:val="20"/>
                <w:lang w:eastAsia="en-ZA"/>
              </w:rPr>
              <w:t>These ratios were calculated using the accumulated figures for UIF&amp;W.</w:t>
            </w:r>
          </w:p>
          <w:p w14:paraId="7FB37F21" w14:textId="77777777" w:rsidR="005A6DBB" w:rsidRDefault="00F93099">
            <w:pPr>
              <w:jc w:val="left"/>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There is an increase due to the accumulated figures being used which shows that UIFW is still happening. </w:t>
            </w:r>
          </w:p>
          <w:p w14:paraId="24211CC3" w14:textId="77777777" w:rsidR="005A6DBB" w:rsidRDefault="00F93099">
            <w:pPr>
              <w:jc w:val="left"/>
              <w:rPr>
                <w:rFonts w:asciiTheme="minorHAnsi" w:hAnsiTheme="minorHAnsi" w:cstheme="minorHAnsi"/>
                <w:sz w:val="20"/>
                <w:szCs w:val="20"/>
                <w:lang w:eastAsia="en-ZA"/>
              </w:rPr>
            </w:pPr>
            <w:r>
              <w:rPr>
                <w:rFonts w:asciiTheme="minorHAnsi" w:hAnsiTheme="minorHAnsi" w:cstheme="minorHAnsi"/>
                <w:sz w:val="20"/>
                <w:szCs w:val="20"/>
                <w:lang w:eastAsia="en-ZA"/>
              </w:rPr>
              <w:t>These matters need to be investigated and submitted to Council for decisions to be made.</w:t>
            </w:r>
          </w:p>
        </w:tc>
      </w:tr>
      <w:tr w:rsidR="005A6DBB" w14:paraId="536D719E"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66CA244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Remuneration (Councillor Remuneration and Employee Related Costs) as % of Total Operating Expenditure - Indicates the extent to which expenditure is applied to the payment of personnel.</w:t>
            </w:r>
          </w:p>
          <w:p w14:paraId="73DF9209" w14:textId="77777777" w:rsidR="005A6DBB" w:rsidRDefault="00F93099">
            <w:pPr>
              <w:rPr>
                <w:rFonts w:asciiTheme="minorHAnsi" w:hAnsiTheme="minorHAnsi" w:cstheme="minorHAnsi"/>
                <w:b/>
                <w:sz w:val="20"/>
                <w:szCs w:val="20"/>
                <w:lang w:eastAsia="en-ZA"/>
              </w:rPr>
            </w:pPr>
            <w:r>
              <w:rPr>
                <w:rFonts w:asciiTheme="minorHAnsi" w:hAnsiTheme="minorHAnsi" w:cstheme="minorHAnsi"/>
                <w:b/>
                <w:sz w:val="20"/>
                <w:szCs w:val="20"/>
                <w:lang w:eastAsia="en-ZA"/>
              </w:rPr>
              <w:t>The norm is 25% - 40%.</w:t>
            </w:r>
          </w:p>
        </w:tc>
        <w:tc>
          <w:tcPr>
            <w:tcW w:w="0" w:type="auto"/>
            <w:tcBorders>
              <w:top w:val="nil"/>
              <w:bottom w:val="nil"/>
              <w:right w:val="single" w:sz="2" w:space="0" w:color="FFFFFF"/>
              <w:tl2br w:val="nil"/>
              <w:tr2bl w:val="nil"/>
            </w:tcBorders>
            <w:shd w:val="clear" w:color="auto" w:fill="BED3E4"/>
          </w:tcPr>
          <w:p w14:paraId="62F24AF8"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29,21%</w:t>
            </w:r>
          </w:p>
        </w:tc>
        <w:tc>
          <w:tcPr>
            <w:tcW w:w="0" w:type="auto"/>
            <w:tcBorders>
              <w:top w:val="nil"/>
              <w:bottom w:val="nil"/>
              <w:right w:val="single" w:sz="2" w:space="0" w:color="FFFFFF"/>
              <w:tl2br w:val="nil"/>
              <w:tr2bl w:val="nil"/>
            </w:tcBorders>
            <w:shd w:val="clear" w:color="auto" w:fill="BED3E4"/>
          </w:tcPr>
          <w:p w14:paraId="0432F4E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29,15%</w:t>
            </w:r>
          </w:p>
        </w:tc>
        <w:tc>
          <w:tcPr>
            <w:tcW w:w="0" w:type="auto"/>
            <w:tcBorders>
              <w:top w:val="nil"/>
              <w:bottom w:val="nil"/>
              <w:right w:val="single" w:sz="2" w:space="0" w:color="FFFFFF"/>
              <w:tl2br w:val="nil"/>
              <w:tr2bl w:val="nil"/>
            </w:tcBorders>
            <w:shd w:val="clear" w:color="auto" w:fill="BED3E4"/>
          </w:tcPr>
          <w:p w14:paraId="31EAB9A2"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24,71%</w:t>
            </w:r>
          </w:p>
        </w:tc>
        <w:tc>
          <w:tcPr>
            <w:tcW w:w="0" w:type="auto"/>
            <w:tcBorders>
              <w:top w:val="nil"/>
              <w:bottom w:val="nil"/>
              <w:right w:val="nil"/>
              <w:tl2br w:val="nil"/>
              <w:tr2bl w:val="nil"/>
            </w:tcBorders>
            <w:shd w:val="clear" w:color="auto" w:fill="BED3E4"/>
          </w:tcPr>
          <w:p w14:paraId="14E042A9"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ratio is within the norm of 25% to 40% for the last three years indicating that the Municipality has maintained staffing levels and/or salaries at an appropriate level.  </w:t>
            </w:r>
          </w:p>
          <w:p w14:paraId="7A6A19D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However, note that critical vacancies remain unfilled and/or unfunded and if filled could increase this ratio.</w:t>
            </w:r>
          </w:p>
        </w:tc>
      </w:tr>
      <w:tr w:rsidR="005A6DBB" w14:paraId="24CEBFD3"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28AC9CA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Contracted Services as a % of Total Operating Expenditure - indicates the extent to which the municipalities resources are committed towards contracted services to perform Municipal related functions.</w:t>
            </w:r>
          </w:p>
          <w:p w14:paraId="0101AB5A" w14:textId="77777777" w:rsidR="005A6DBB" w:rsidRDefault="00F93099">
            <w:pPr>
              <w:rPr>
                <w:rFonts w:asciiTheme="minorHAnsi" w:hAnsiTheme="minorHAnsi" w:cstheme="minorHAnsi"/>
                <w:b/>
                <w:sz w:val="20"/>
                <w:szCs w:val="20"/>
                <w:lang w:eastAsia="en-ZA"/>
              </w:rPr>
            </w:pPr>
            <w:r>
              <w:rPr>
                <w:rFonts w:asciiTheme="minorHAnsi" w:hAnsiTheme="minorHAnsi" w:cstheme="minorHAnsi"/>
                <w:b/>
                <w:sz w:val="20"/>
                <w:szCs w:val="20"/>
                <w:lang w:eastAsia="en-ZA"/>
              </w:rPr>
              <w:t>The norm is 2%-5%.</w:t>
            </w:r>
          </w:p>
        </w:tc>
        <w:tc>
          <w:tcPr>
            <w:tcW w:w="0" w:type="auto"/>
            <w:tcBorders>
              <w:top w:val="nil"/>
              <w:bottom w:val="nil"/>
              <w:right w:val="single" w:sz="2" w:space="0" w:color="FFFFFF"/>
              <w:tl2br w:val="nil"/>
              <w:tr2bl w:val="nil"/>
            </w:tcBorders>
            <w:shd w:val="clear" w:color="auto" w:fill="D4E1ED"/>
          </w:tcPr>
          <w:p w14:paraId="38174D86"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5,18%</w:t>
            </w:r>
          </w:p>
        </w:tc>
        <w:tc>
          <w:tcPr>
            <w:tcW w:w="0" w:type="auto"/>
            <w:tcBorders>
              <w:top w:val="nil"/>
              <w:bottom w:val="nil"/>
              <w:right w:val="single" w:sz="2" w:space="0" w:color="FFFFFF"/>
              <w:tl2br w:val="nil"/>
              <w:tr2bl w:val="nil"/>
            </w:tcBorders>
            <w:shd w:val="clear" w:color="auto" w:fill="D4E1ED"/>
          </w:tcPr>
          <w:p w14:paraId="7105DF8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4,73%</w:t>
            </w:r>
          </w:p>
        </w:tc>
        <w:tc>
          <w:tcPr>
            <w:tcW w:w="0" w:type="auto"/>
            <w:tcBorders>
              <w:top w:val="nil"/>
              <w:bottom w:val="nil"/>
              <w:right w:val="single" w:sz="2" w:space="0" w:color="FFFFFF"/>
              <w:tl2br w:val="nil"/>
              <w:tr2bl w:val="nil"/>
            </w:tcBorders>
            <w:shd w:val="clear" w:color="auto" w:fill="D4E1ED"/>
          </w:tcPr>
          <w:p w14:paraId="095C244B"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3,79%</w:t>
            </w:r>
          </w:p>
        </w:tc>
        <w:tc>
          <w:tcPr>
            <w:tcW w:w="0" w:type="auto"/>
            <w:tcBorders>
              <w:top w:val="nil"/>
              <w:bottom w:val="nil"/>
              <w:right w:val="nil"/>
              <w:tl2br w:val="nil"/>
              <w:tr2bl w:val="nil"/>
            </w:tcBorders>
            <w:shd w:val="clear" w:color="auto" w:fill="D4E1ED"/>
          </w:tcPr>
          <w:p w14:paraId="2EE90F37"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ratio is in line with the norm of 2% - 5% for the last three years indicating that the Municipality is reliant on contracted services to perform Municipal related functions but this is not out of control. </w:t>
            </w:r>
          </w:p>
          <w:p w14:paraId="3DF96CC6" w14:textId="77777777" w:rsidR="005A6DBB" w:rsidRDefault="00F93099">
            <w:pPr>
              <w:rPr>
                <w:rFonts w:asciiTheme="minorHAnsi" w:hAnsiTheme="minorHAnsi" w:cstheme="minorHAnsi"/>
                <w:sz w:val="20"/>
                <w:szCs w:val="20"/>
                <w:highlight w:val="yellow"/>
                <w:lang w:eastAsia="en-ZA"/>
              </w:rPr>
            </w:pPr>
            <w:r>
              <w:rPr>
                <w:rFonts w:asciiTheme="minorHAnsi" w:hAnsiTheme="minorHAnsi" w:cstheme="minorHAnsi"/>
                <w:sz w:val="20"/>
                <w:szCs w:val="20"/>
                <w:lang w:eastAsia="en-ZA"/>
              </w:rPr>
              <w:t>Further analysis indicates that this figure is understated as the contracted services line item excludes repairs and maintenance which is partially outsourced.  If contracted repairs and maintenance is included in the ratio, the ratio’s are 5.23% (2019/20), 7.31% (2020/21) and 6.45% (2021/22) which is above the norm for all three respective years.</w:t>
            </w:r>
          </w:p>
        </w:tc>
      </w:tr>
      <w:tr w:rsidR="005A6DBB" w14:paraId="190D6065" w14:textId="77777777" w:rsidTr="005A6DBB">
        <w:trPr>
          <w:trHeight w:val="430"/>
        </w:trPr>
        <w:tc>
          <w:tcPr>
            <w:tcW w:w="0" w:type="auto"/>
            <w:gridSpan w:val="5"/>
            <w:tcBorders>
              <w:top w:val="nil"/>
              <w:left w:val="nil"/>
              <w:bottom w:val="nil"/>
              <w:right w:val="nil"/>
              <w:tl2br w:val="nil"/>
              <w:tr2bl w:val="nil"/>
            </w:tcBorders>
            <w:shd w:val="clear" w:color="auto" w:fill="BED3E4"/>
          </w:tcPr>
          <w:p w14:paraId="2AA1B79A" w14:textId="77777777" w:rsidR="005A6DBB" w:rsidRDefault="00F93099">
            <w:pPr>
              <w:rPr>
                <w:rFonts w:asciiTheme="minorHAnsi" w:hAnsiTheme="minorHAnsi" w:cstheme="minorHAnsi"/>
                <w:b/>
                <w:bCs/>
                <w:sz w:val="20"/>
                <w:szCs w:val="20"/>
                <w:highlight w:val="yellow"/>
                <w:lang w:eastAsia="en-ZA"/>
              </w:rPr>
            </w:pPr>
            <w:r>
              <w:rPr>
                <w:rFonts w:asciiTheme="minorHAnsi" w:hAnsiTheme="minorHAnsi" w:cstheme="minorHAnsi"/>
                <w:b/>
                <w:bCs/>
                <w:sz w:val="20"/>
                <w:szCs w:val="20"/>
                <w:lang w:eastAsia="en-ZA"/>
              </w:rPr>
              <w:t>Grant Dependency</w:t>
            </w:r>
          </w:p>
        </w:tc>
      </w:tr>
      <w:tr w:rsidR="005A6DBB" w14:paraId="7661CB76"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3137C72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Own Funded Capital Expenditure (Internally Generated Funds plus Borrowing) to Total Capital Expenditure - Measures the extent to which the Municipality’s total capital expenditure is funded through internally generated funds and Borrowings.</w:t>
            </w:r>
          </w:p>
          <w:p w14:paraId="43E0E3F0"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There is no Norm</w:t>
            </w:r>
          </w:p>
        </w:tc>
        <w:tc>
          <w:tcPr>
            <w:tcW w:w="0" w:type="auto"/>
            <w:tcBorders>
              <w:top w:val="nil"/>
              <w:bottom w:val="nil"/>
              <w:right w:val="single" w:sz="2" w:space="0" w:color="FFFFFF"/>
              <w:tl2br w:val="nil"/>
              <w:tr2bl w:val="nil"/>
            </w:tcBorders>
            <w:shd w:val="clear" w:color="auto" w:fill="D4E1ED"/>
          </w:tcPr>
          <w:p w14:paraId="259538D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31,90%</w:t>
            </w:r>
          </w:p>
        </w:tc>
        <w:tc>
          <w:tcPr>
            <w:tcW w:w="0" w:type="auto"/>
            <w:tcBorders>
              <w:top w:val="nil"/>
              <w:bottom w:val="nil"/>
              <w:right w:val="single" w:sz="2" w:space="0" w:color="FFFFFF"/>
              <w:tl2br w:val="nil"/>
              <w:tr2bl w:val="nil"/>
            </w:tcBorders>
            <w:shd w:val="clear" w:color="auto" w:fill="D4E1ED"/>
          </w:tcPr>
          <w:p w14:paraId="68B1807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26,10%</w:t>
            </w:r>
          </w:p>
        </w:tc>
        <w:tc>
          <w:tcPr>
            <w:tcW w:w="0" w:type="auto"/>
            <w:tcBorders>
              <w:top w:val="nil"/>
              <w:bottom w:val="nil"/>
              <w:right w:val="single" w:sz="2" w:space="0" w:color="FFFFFF"/>
              <w:tl2br w:val="nil"/>
              <w:tr2bl w:val="nil"/>
            </w:tcBorders>
            <w:shd w:val="clear" w:color="auto" w:fill="D4E1ED"/>
          </w:tcPr>
          <w:p w14:paraId="7C9A4D9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15,43%</w:t>
            </w:r>
          </w:p>
        </w:tc>
        <w:tc>
          <w:tcPr>
            <w:tcW w:w="0" w:type="auto"/>
            <w:tcBorders>
              <w:top w:val="nil"/>
              <w:bottom w:val="nil"/>
              <w:right w:val="nil"/>
              <w:tl2br w:val="nil"/>
              <w:tr2bl w:val="nil"/>
            </w:tcBorders>
            <w:shd w:val="clear" w:color="auto" w:fill="D4E1ED"/>
          </w:tcPr>
          <w:p w14:paraId="469E829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is an indication that the Municipality is unable to generate sufficient funds (internally or through borrowing) to fund capital requirements and is reliant on grant funding.</w:t>
            </w:r>
          </w:p>
          <w:p w14:paraId="4A042595"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Over the 3 years MMM has been more reliant on grants to fund capital projects.</w:t>
            </w:r>
          </w:p>
          <w:p w14:paraId="1C22995A" w14:textId="77777777" w:rsidR="005A6DBB" w:rsidRDefault="00F93099">
            <w:pPr>
              <w:rPr>
                <w:rFonts w:asciiTheme="minorHAnsi" w:hAnsiTheme="minorHAnsi" w:cstheme="minorHAnsi"/>
                <w:bCs/>
                <w:sz w:val="20"/>
                <w:szCs w:val="20"/>
                <w:lang w:eastAsia="en-ZA"/>
              </w:rPr>
            </w:pPr>
            <w:r>
              <w:rPr>
                <w:rFonts w:asciiTheme="minorHAnsi" w:hAnsiTheme="minorHAnsi" w:cstheme="minorHAnsi"/>
                <w:bCs/>
                <w:sz w:val="20"/>
                <w:szCs w:val="20"/>
                <w:lang w:eastAsia="en-ZA"/>
              </w:rPr>
              <w:t>This is consistent with the cashflow challenges being experienced by the municipality.</w:t>
            </w:r>
          </w:p>
        </w:tc>
      </w:tr>
      <w:tr w:rsidR="005A6DBB" w14:paraId="0FBF3CD6"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20C76FCC"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 xml:space="preserve">Own funded Capital Expenditure (Internally Generated Funds) to Total Capital Expenditure </w:t>
            </w:r>
          </w:p>
          <w:p w14:paraId="1E189763" w14:textId="77777777" w:rsidR="005A6DBB" w:rsidRDefault="00F93099">
            <w:pPr>
              <w:rPr>
                <w:rFonts w:asciiTheme="minorHAnsi" w:hAnsiTheme="minorHAnsi" w:cstheme="minorHAnsi"/>
                <w:sz w:val="20"/>
                <w:szCs w:val="20"/>
                <w:lang w:eastAsia="en-ZA"/>
              </w:rPr>
            </w:pPr>
            <w:r>
              <w:rPr>
                <w:rFonts w:asciiTheme="minorHAnsi" w:hAnsiTheme="minorHAnsi" w:cstheme="minorHAnsi"/>
                <w:color w:val="000000"/>
                <w:sz w:val="20"/>
                <w:szCs w:val="20"/>
                <w:lang w:eastAsia="en-ZA"/>
              </w:rPr>
              <w:t>There is no Norm</w:t>
            </w:r>
          </w:p>
        </w:tc>
        <w:tc>
          <w:tcPr>
            <w:tcW w:w="0" w:type="auto"/>
            <w:tcBorders>
              <w:top w:val="nil"/>
              <w:bottom w:val="nil"/>
              <w:right w:val="single" w:sz="2" w:space="0" w:color="FFFFFF"/>
              <w:tl2br w:val="nil"/>
              <w:tr2bl w:val="nil"/>
            </w:tcBorders>
            <w:shd w:val="clear" w:color="auto" w:fill="BED3E4"/>
          </w:tcPr>
          <w:p w14:paraId="3074863C"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20,29%</w:t>
            </w:r>
          </w:p>
        </w:tc>
        <w:tc>
          <w:tcPr>
            <w:tcW w:w="0" w:type="auto"/>
            <w:tcBorders>
              <w:top w:val="nil"/>
              <w:bottom w:val="nil"/>
              <w:right w:val="single" w:sz="2" w:space="0" w:color="FFFFFF"/>
              <w:tl2br w:val="nil"/>
              <w:tr2bl w:val="nil"/>
            </w:tcBorders>
            <w:shd w:val="clear" w:color="auto" w:fill="BED3E4"/>
          </w:tcPr>
          <w:p w14:paraId="014E7A67"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17,04%</w:t>
            </w:r>
          </w:p>
        </w:tc>
        <w:tc>
          <w:tcPr>
            <w:tcW w:w="0" w:type="auto"/>
            <w:tcBorders>
              <w:top w:val="nil"/>
              <w:bottom w:val="nil"/>
              <w:right w:val="single" w:sz="2" w:space="0" w:color="FFFFFF"/>
              <w:tl2br w:val="nil"/>
              <w:tr2bl w:val="nil"/>
            </w:tcBorders>
            <w:shd w:val="clear" w:color="auto" w:fill="BED3E4"/>
          </w:tcPr>
          <w:p w14:paraId="3ABA6349"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15,43%</w:t>
            </w:r>
          </w:p>
        </w:tc>
        <w:tc>
          <w:tcPr>
            <w:tcW w:w="0" w:type="auto"/>
            <w:tcBorders>
              <w:top w:val="nil"/>
              <w:bottom w:val="nil"/>
              <w:right w:val="nil"/>
              <w:tl2br w:val="nil"/>
              <w:tr2bl w:val="nil"/>
            </w:tcBorders>
            <w:shd w:val="clear" w:color="auto" w:fill="BED3E4"/>
          </w:tcPr>
          <w:p w14:paraId="1B7FC54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For the three years under review, the municipality was reliant on grant funding between 79% to 85%, given that it cannot afford to finance capital expenditure from internally generated funds. Although other metrics indicate that the municipality can potentially apply for debt, it does not have capacity to service debt given the lack of cash generating ability and reliance on funding from National Government.</w:t>
            </w:r>
          </w:p>
        </w:tc>
      </w:tr>
      <w:tr w:rsidR="005A6DBB" w14:paraId="1E6D3E64"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368D98A3"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Own Source Revenue to Total Operating Revenue (Including Agency Revenue) - measures the extent to which the Municipality’s total revenue is funded through internally generated funds and borrowings.</w:t>
            </w:r>
          </w:p>
          <w:p w14:paraId="71257636"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There is no Norm</w:t>
            </w:r>
          </w:p>
        </w:tc>
        <w:tc>
          <w:tcPr>
            <w:tcW w:w="0" w:type="auto"/>
            <w:tcBorders>
              <w:top w:val="nil"/>
              <w:bottom w:val="nil"/>
              <w:right w:val="single" w:sz="2" w:space="0" w:color="FFFFFF"/>
              <w:tl2br w:val="nil"/>
              <w:tr2bl w:val="nil"/>
            </w:tcBorders>
            <w:shd w:val="clear" w:color="auto" w:fill="D4E1ED"/>
          </w:tcPr>
          <w:p w14:paraId="4534DD05"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79,31%</w:t>
            </w:r>
          </w:p>
        </w:tc>
        <w:tc>
          <w:tcPr>
            <w:tcW w:w="0" w:type="auto"/>
            <w:tcBorders>
              <w:top w:val="nil"/>
              <w:bottom w:val="nil"/>
              <w:right w:val="single" w:sz="2" w:space="0" w:color="FFFFFF"/>
              <w:tl2br w:val="nil"/>
              <w:tr2bl w:val="nil"/>
            </w:tcBorders>
            <w:shd w:val="clear" w:color="auto" w:fill="D4E1ED"/>
          </w:tcPr>
          <w:p w14:paraId="180FD5C5"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73,42%</w:t>
            </w:r>
          </w:p>
        </w:tc>
        <w:tc>
          <w:tcPr>
            <w:tcW w:w="0" w:type="auto"/>
            <w:tcBorders>
              <w:top w:val="nil"/>
              <w:bottom w:val="nil"/>
              <w:right w:val="single" w:sz="2" w:space="0" w:color="FFFFFF"/>
              <w:tl2br w:val="nil"/>
              <w:tr2bl w:val="nil"/>
            </w:tcBorders>
            <w:shd w:val="clear" w:color="auto" w:fill="D4E1ED"/>
          </w:tcPr>
          <w:p w14:paraId="3288AEF3" w14:textId="77777777" w:rsidR="005A6DBB" w:rsidRDefault="00F93099">
            <w:pPr>
              <w:jc w:val="center"/>
              <w:rPr>
                <w:rFonts w:asciiTheme="minorHAnsi" w:hAnsiTheme="minorHAnsi" w:cstheme="minorHAnsi"/>
                <w:bCs/>
                <w:sz w:val="20"/>
                <w:szCs w:val="20"/>
                <w:lang w:eastAsia="en-ZA"/>
              </w:rPr>
            </w:pPr>
            <w:r>
              <w:rPr>
                <w:rFonts w:asciiTheme="minorHAnsi" w:hAnsiTheme="minorHAnsi" w:cstheme="minorHAnsi"/>
                <w:sz w:val="20"/>
                <w:szCs w:val="20"/>
                <w:lang w:eastAsia="en-ZA"/>
              </w:rPr>
              <w:t>75,07%</w:t>
            </w:r>
          </w:p>
        </w:tc>
        <w:tc>
          <w:tcPr>
            <w:tcW w:w="0" w:type="auto"/>
            <w:tcBorders>
              <w:top w:val="nil"/>
              <w:bottom w:val="nil"/>
              <w:right w:val="nil"/>
              <w:tl2br w:val="nil"/>
              <w:tr2bl w:val="nil"/>
            </w:tcBorders>
            <w:shd w:val="clear" w:color="auto" w:fill="D4E1ED"/>
          </w:tcPr>
          <w:p w14:paraId="40AC659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This is an indication that the Municipality is not solely reliant on government funding to fund its obligated municipal services. </w:t>
            </w:r>
          </w:p>
          <w:p w14:paraId="30C2060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 dependency increased from approximately 20% in 2019/20 to approximately 25% in 2021/22. However, should the collection rates decline further grant dependency would be inevitable.</w:t>
            </w:r>
          </w:p>
        </w:tc>
      </w:tr>
      <w:tr w:rsidR="005A6DBB" w14:paraId="5CDF9015" w14:textId="77777777" w:rsidTr="005A6DBB">
        <w:trPr>
          <w:trHeight w:val="487"/>
        </w:trPr>
        <w:tc>
          <w:tcPr>
            <w:tcW w:w="0" w:type="auto"/>
            <w:gridSpan w:val="5"/>
            <w:tcBorders>
              <w:top w:val="nil"/>
              <w:left w:val="nil"/>
              <w:bottom w:val="nil"/>
              <w:right w:val="nil"/>
              <w:tl2br w:val="nil"/>
              <w:tr2bl w:val="nil"/>
            </w:tcBorders>
            <w:shd w:val="clear" w:color="auto" w:fill="BED3E4"/>
          </w:tcPr>
          <w:p w14:paraId="5FFF36A0" w14:textId="77777777" w:rsidR="005A6DBB" w:rsidRDefault="00F93099">
            <w:pPr>
              <w:rPr>
                <w:rFonts w:asciiTheme="minorHAnsi" w:hAnsiTheme="minorHAnsi" w:cstheme="minorHAnsi"/>
                <w:b/>
                <w:bCs/>
                <w:color w:val="FFFFFF" w:themeColor="background1"/>
                <w:sz w:val="20"/>
                <w:szCs w:val="20"/>
                <w:lang w:eastAsia="en-ZA"/>
              </w:rPr>
            </w:pPr>
            <w:r>
              <w:rPr>
                <w:rFonts w:asciiTheme="minorHAnsi" w:hAnsiTheme="minorHAnsi" w:cstheme="minorHAnsi"/>
                <w:b/>
                <w:bCs/>
                <w:sz w:val="20"/>
                <w:szCs w:val="20"/>
                <w:lang w:eastAsia="en-ZA"/>
              </w:rPr>
              <w:t>BUDGET IMPLEMENTATION</w:t>
            </w:r>
          </w:p>
        </w:tc>
      </w:tr>
      <w:tr w:rsidR="005A6DBB" w14:paraId="2879B37E"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07A76E6B"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Capital Expenditure Budget Implementation Indicator</w:t>
            </w:r>
          </w:p>
          <w:p w14:paraId="3D43AADB"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95% - 100%</w:t>
            </w:r>
          </w:p>
        </w:tc>
        <w:tc>
          <w:tcPr>
            <w:tcW w:w="0" w:type="auto"/>
            <w:tcBorders>
              <w:top w:val="nil"/>
              <w:bottom w:val="nil"/>
              <w:right w:val="single" w:sz="2" w:space="0" w:color="FFFFFF"/>
              <w:tl2br w:val="nil"/>
              <w:tr2bl w:val="nil"/>
            </w:tcBorders>
            <w:shd w:val="clear" w:color="auto" w:fill="D4E1ED"/>
          </w:tcPr>
          <w:p w14:paraId="67FE5EEF"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50.20%</w:t>
            </w:r>
          </w:p>
        </w:tc>
        <w:tc>
          <w:tcPr>
            <w:tcW w:w="0" w:type="auto"/>
            <w:tcBorders>
              <w:top w:val="nil"/>
              <w:bottom w:val="nil"/>
              <w:right w:val="single" w:sz="2" w:space="0" w:color="FFFFFF"/>
              <w:tl2br w:val="nil"/>
              <w:tr2bl w:val="nil"/>
            </w:tcBorders>
            <w:shd w:val="clear" w:color="auto" w:fill="D4E1ED"/>
          </w:tcPr>
          <w:p w14:paraId="248CECB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80,60%</w:t>
            </w:r>
          </w:p>
        </w:tc>
        <w:tc>
          <w:tcPr>
            <w:tcW w:w="0" w:type="auto"/>
            <w:tcBorders>
              <w:top w:val="nil"/>
              <w:bottom w:val="nil"/>
              <w:right w:val="single" w:sz="2" w:space="0" w:color="FFFFFF"/>
              <w:tl2br w:val="nil"/>
              <w:tr2bl w:val="nil"/>
            </w:tcBorders>
            <w:shd w:val="clear" w:color="auto" w:fill="D4E1ED"/>
          </w:tcPr>
          <w:p w14:paraId="4D60EB10"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46,23%</w:t>
            </w:r>
          </w:p>
        </w:tc>
        <w:tc>
          <w:tcPr>
            <w:tcW w:w="0" w:type="auto"/>
            <w:tcBorders>
              <w:top w:val="nil"/>
              <w:bottom w:val="nil"/>
              <w:right w:val="nil"/>
              <w:tl2br w:val="nil"/>
              <w:tr2bl w:val="nil"/>
            </w:tcBorders>
            <w:shd w:val="clear" w:color="auto" w:fill="D4E1ED"/>
          </w:tcPr>
          <w:p w14:paraId="1A26977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These declining ratios indicate the problem of MMM undertaking capital projects/ infrastructure. This is due to MMM not being able to raise borrowings and the decline in grants being able to be obtained to undertake capital works.</w:t>
            </w:r>
          </w:p>
          <w:p w14:paraId="558D4AC1"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There is therefore a risk of potentially negatively affecting service delivery and indicative of cash flow and capacity challenges to carry out the planned capital spending.</w:t>
            </w:r>
          </w:p>
        </w:tc>
      </w:tr>
      <w:tr w:rsidR="005A6DBB" w14:paraId="6C2D4694" w14:textId="77777777" w:rsidTr="005A6DBB">
        <w:trPr>
          <w:trHeight w:val="1048"/>
        </w:trPr>
        <w:tc>
          <w:tcPr>
            <w:tcW w:w="0" w:type="auto"/>
            <w:tcBorders>
              <w:top w:val="nil"/>
              <w:left w:val="nil"/>
              <w:bottom w:val="nil"/>
              <w:right w:val="single" w:sz="2" w:space="0" w:color="FFFFFF"/>
              <w:tl2br w:val="nil"/>
              <w:tr2bl w:val="nil"/>
            </w:tcBorders>
            <w:shd w:val="clear" w:color="auto" w:fill="BED3E4"/>
          </w:tcPr>
          <w:p w14:paraId="5FE7B965"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Operating Expenditure Budget Implementation Indicator</w:t>
            </w:r>
          </w:p>
          <w:p w14:paraId="57C0429D"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95% - 100%</w:t>
            </w:r>
          </w:p>
        </w:tc>
        <w:tc>
          <w:tcPr>
            <w:tcW w:w="0" w:type="auto"/>
            <w:tcBorders>
              <w:top w:val="nil"/>
              <w:bottom w:val="nil"/>
              <w:right w:val="single" w:sz="2" w:space="0" w:color="FFFFFF"/>
              <w:tl2br w:val="nil"/>
              <w:tr2bl w:val="nil"/>
            </w:tcBorders>
            <w:shd w:val="clear" w:color="auto" w:fill="BED3E4"/>
          </w:tcPr>
          <w:p w14:paraId="05C86298"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103,99%</w:t>
            </w:r>
          </w:p>
        </w:tc>
        <w:tc>
          <w:tcPr>
            <w:tcW w:w="0" w:type="auto"/>
            <w:tcBorders>
              <w:top w:val="nil"/>
              <w:bottom w:val="nil"/>
              <w:right w:val="single" w:sz="2" w:space="0" w:color="FFFFFF"/>
              <w:tl2br w:val="nil"/>
              <w:tr2bl w:val="nil"/>
            </w:tcBorders>
            <w:shd w:val="clear" w:color="auto" w:fill="BED3E4"/>
          </w:tcPr>
          <w:p w14:paraId="737B27B9"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106,48%</w:t>
            </w:r>
          </w:p>
        </w:tc>
        <w:tc>
          <w:tcPr>
            <w:tcW w:w="0" w:type="auto"/>
            <w:tcBorders>
              <w:top w:val="nil"/>
              <w:bottom w:val="nil"/>
              <w:right w:val="single" w:sz="2" w:space="0" w:color="FFFFFF"/>
              <w:tl2br w:val="nil"/>
              <w:tr2bl w:val="nil"/>
            </w:tcBorders>
            <w:shd w:val="clear" w:color="auto" w:fill="BED3E4"/>
          </w:tcPr>
          <w:p w14:paraId="56AFE17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124,93%</w:t>
            </w:r>
          </w:p>
        </w:tc>
        <w:tc>
          <w:tcPr>
            <w:tcW w:w="0" w:type="auto"/>
            <w:tcBorders>
              <w:top w:val="nil"/>
              <w:bottom w:val="nil"/>
              <w:right w:val="nil"/>
              <w:tl2br w:val="nil"/>
              <w:tr2bl w:val="nil"/>
            </w:tcBorders>
            <w:shd w:val="clear" w:color="auto" w:fill="BED3E4"/>
          </w:tcPr>
          <w:p w14:paraId="346A46DC"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indicates poor budgeting techniques. There has been increased overspending for the last three financial years with 2021/22 ending up with a deficit of R676.9 million.</w:t>
            </w:r>
          </w:p>
        </w:tc>
      </w:tr>
      <w:tr w:rsidR="005A6DBB" w14:paraId="43CC5050" w14:textId="77777777" w:rsidTr="005A6DBB">
        <w:trPr>
          <w:trHeight w:val="1048"/>
        </w:trPr>
        <w:tc>
          <w:tcPr>
            <w:tcW w:w="0" w:type="auto"/>
            <w:tcBorders>
              <w:top w:val="nil"/>
              <w:left w:val="nil"/>
              <w:bottom w:val="nil"/>
              <w:right w:val="single" w:sz="2" w:space="0" w:color="FFFFFF"/>
              <w:tl2br w:val="nil"/>
              <w:tr2bl w:val="nil"/>
            </w:tcBorders>
            <w:shd w:val="clear" w:color="auto" w:fill="D4E1ED"/>
          </w:tcPr>
          <w:p w14:paraId="1FF981BF"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 xml:space="preserve">Operating Revenue Budget Implementation Indicator </w:t>
            </w:r>
          </w:p>
          <w:p w14:paraId="41F3381B"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95% - 100%</w:t>
            </w:r>
          </w:p>
        </w:tc>
        <w:tc>
          <w:tcPr>
            <w:tcW w:w="0" w:type="auto"/>
            <w:tcBorders>
              <w:top w:val="nil"/>
              <w:bottom w:val="nil"/>
              <w:right w:val="single" w:sz="2" w:space="0" w:color="FFFFFF"/>
              <w:tl2br w:val="nil"/>
              <w:tr2bl w:val="nil"/>
            </w:tcBorders>
            <w:shd w:val="clear" w:color="auto" w:fill="D4E1ED"/>
          </w:tcPr>
          <w:p w14:paraId="2ABC34B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106,11%</w:t>
            </w:r>
          </w:p>
        </w:tc>
        <w:tc>
          <w:tcPr>
            <w:tcW w:w="0" w:type="auto"/>
            <w:tcBorders>
              <w:top w:val="nil"/>
              <w:bottom w:val="nil"/>
              <w:right w:val="single" w:sz="2" w:space="0" w:color="FFFFFF"/>
              <w:tl2br w:val="nil"/>
              <w:tr2bl w:val="nil"/>
            </w:tcBorders>
            <w:shd w:val="clear" w:color="auto" w:fill="D4E1ED"/>
          </w:tcPr>
          <w:p w14:paraId="113FCA5F"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107,98%</w:t>
            </w:r>
          </w:p>
        </w:tc>
        <w:tc>
          <w:tcPr>
            <w:tcW w:w="0" w:type="auto"/>
            <w:tcBorders>
              <w:top w:val="nil"/>
              <w:bottom w:val="nil"/>
              <w:right w:val="single" w:sz="2" w:space="0" w:color="FFFFFF"/>
              <w:tl2br w:val="nil"/>
              <w:tr2bl w:val="nil"/>
            </w:tcBorders>
            <w:shd w:val="clear" w:color="auto" w:fill="D4E1ED"/>
          </w:tcPr>
          <w:p w14:paraId="57434938"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104,57%</w:t>
            </w:r>
          </w:p>
        </w:tc>
        <w:tc>
          <w:tcPr>
            <w:tcW w:w="0" w:type="auto"/>
            <w:tcBorders>
              <w:top w:val="nil"/>
              <w:bottom w:val="nil"/>
              <w:right w:val="nil"/>
              <w:tl2br w:val="nil"/>
              <w:tr2bl w:val="nil"/>
            </w:tcBorders>
            <w:shd w:val="clear" w:color="auto" w:fill="D4E1ED"/>
          </w:tcPr>
          <w:p w14:paraId="4B5CD7B6"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This indicates poor budgeting techniques. There has been increased actual revenue when compared to the revenue budget for the last three financial years with 2021/22 ending up with a deficit of R676.9 million.</w:t>
            </w:r>
          </w:p>
        </w:tc>
      </w:tr>
      <w:tr w:rsidR="005A6DBB" w14:paraId="2CD924A1" w14:textId="77777777" w:rsidTr="005A6DBB">
        <w:trPr>
          <w:trHeight w:val="1276"/>
        </w:trPr>
        <w:tc>
          <w:tcPr>
            <w:tcW w:w="0" w:type="auto"/>
            <w:tcBorders>
              <w:top w:val="nil"/>
              <w:left w:val="nil"/>
              <w:bottom w:val="nil"/>
              <w:right w:val="single" w:sz="2" w:space="0" w:color="FFFFFF"/>
              <w:tl2br w:val="nil"/>
              <w:tr2bl w:val="nil"/>
            </w:tcBorders>
            <w:shd w:val="clear" w:color="auto" w:fill="BED3E4"/>
          </w:tcPr>
          <w:p w14:paraId="1031D5D2" w14:textId="77777777" w:rsidR="005A6DBB" w:rsidRDefault="00F93099">
            <w:pPr>
              <w:rPr>
                <w:rFonts w:asciiTheme="minorHAnsi" w:hAnsiTheme="minorHAnsi" w:cstheme="minorHAnsi"/>
                <w:color w:val="000000"/>
                <w:sz w:val="20"/>
                <w:szCs w:val="20"/>
                <w:lang w:eastAsia="en-ZA"/>
              </w:rPr>
            </w:pPr>
            <w:r>
              <w:rPr>
                <w:rFonts w:asciiTheme="minorHAnsi" w:hAnsiTheme="minorHAnsi" w:cstheme="minorHAnsi"/>
                <w:color w:val="000000"/>
                <w:sz w:val="20"/>
                <w:szCs w:val="20"/>
                <w:lang w:eastAsia="en-ZA"/>
              </w:rPr>
              <w:t>Service Charges and Property Rates Revenue Budget Implementation Indicator</w:t>
            </w:r>
          </w:p>
          <w:p w14:paraId="62E49B13" w14:textId="77777777" w:rsidR="005A6DBB" w:rsidRDefault="00F93099">
            <w:pPr>
              <w:rPr>
                <w:rFonts w:asciiTheme="minorHAnsi" w:hAnsiTheme="minorHAnsi" w:cstheme="minorHAnsi"/>
                <w:b/>
                <w:bCs/>
                <w:sz w:val="20"/>
                <w:szCs w:val="20"/>
                <w:lang w:eastAsia="en-ZA"/>
              </w:rPr>
            </w:pPr>
            <w:r>
              <w:rPr>
                <w:rFonts w:asciiTheme="minorHAnsi" w:hAnsiTheme="minorHAnsi" w:cstheme="minorHAnsi"/>
                <w:b/>
                <w:bCs/>
                <w:color w:val="000000"/>
                <w:sz w:val="20"/>
                <w:szCs w:val="20"/>
                <w:lang w:eastAsia="en-ZA"/>
              </w:rPr>
              <w:t>Norm 95% - 100%</w:t>
            </w:r>
          </w:p>
        </w:tc>
        <w:tc>
          <w:tcPr>
            <w:tcW w:w="0" w:type="auto"/>
            <w:tcBorders>
              <w:top w:val="nil"/>
              <w:bottom w:val="nil"/>
              <w:right w:val="single" w:sz="2" w:space="0" w:color="FFFFFF"/>
              <w:tl2br w:val="nil"/>
              <w:tr2bl w:val="nil"/>
            </w:tcBorders>
            <w:shd w:val="clear" w:color="auto" w:fill="BED3E4"/>
          </w:tcPr>
          <w:p w14:paraId="771E142C"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94,50%</w:t>
            </w:r>
          </w:p>
        </w:tc>
        <w:tc>
          <w:tcPr>
            <w:tcW w:w="0" w:type="auto"/>
            <w:tcBorders>
              <w:top w:val="nil"/>
              <w:bottom w:val="nil"/>
              <w:right w:val="single" w:sz="2" w:space="0" w:color="FFFFFF"/>
              <w:tl2br w:val="nil"/>
              <w:tr2bl w:val="nil"/>
            </w:tcBorders>
            <w:shd w:val="clear" w:color="auto" w:fill="BED3E4"/>
          </w:tcPr>
          <w:p w14:paraId="57F8C7E1"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98,45%</w:t>
            </w:r>
          </w:p>
        </w:tc>
        <w:tc>
          <w:tcPr>
            <w:tcW w:w="0" w:type="auto"/>
            <w:tcBorders>
              <w:top w:val="nil"/>
              <w:bottom w:val="nil"/>
              <w:right w:val="single" w:sz="2" w:space="0" w:color="FFFFFF"/>
              <w:tl2br w:val="nil"/>
              <w:tr2bl w:val="nil"/>
            </w:tcBorders>
            <w:shd w:val="clear" w:color="auto" w:fill="BED3E4"/>
          </w:tcPr>
          <w:p w14:paraId="7E18F227" w14:textId="77777777" w:rsidR="005A6DBB" w:rsidRDefault="00F93099">
            <w:pPr>
              <w:jc w:val="center"/>
              <w:rPr>
                <w:rFonts w:asciiTheme="minorHAnsi" w:hAnsiTheme="minorHAnsi" w:cstheme="minorHAnsi"/>
                <w:sz w:val="20"/>
                <w:szCs w:val="20"/>
                <w:lang w:eastAsia="en-ZA"/>
              </w:rPr>
            </w:pPr>
            <w:r>
              <w:rPr>
                <w:rFonts w:asciiTheme="minorHAnsi" w:hAnsiTheme="minorHAnsi" w:cstheme="minorHAnsi"/>
                <w:sz w:val="20"/>
                <w:szCs w:val="20"/>
                <w:lang w:eastAsia="en-ZA"/>
              </w:rPr>
              <w:t>92,39%</w:t>
            </w:r>
          </w:p>
        </w:tc>
        <w:tc>
          <w:tcPr>
            <w:tcW w:w="0" w:type="auto"/>
            <w:tcBorders>
              <w:top w:val="nil"/>
              <w:bottom w:val="nil"/>
              <w:right w:val="nil"/>
              <w:tl2br w:val="nil"/>
              <w:tr2bl w:val="nil"/>
            </w:tcBorders>
            <w:shd w:val="clear" w:color="auto" w:fill="BED3E4"/>
          </w:tcPr>
          <w:p w14:paraId="1E0EC632"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 xml:space="preserve">The budget utilisation for 2019/20 and 2020/21 appears reasonable with a slight decline below the norm during 2021/22 </w:t>
            </w:r>
          </w:p>
          <w:p w14:paraId="37D621BD" w14:textId="77777777" w:rsidR="005A6DBB" w:rsidRDefault="00F93099">
            <w:pPr>
              <w:rPr>
                <w:rFonts w:asciiTheme="minorHAnsi" w:hAnsiTheme="minorHAnsi" w:cstheme="minorHAnsi"/>
                <w:sz w:val="20"/>
                <w:szCs w:val="20"/>
                <w:lang w:eastAsia="en-ZA"/>
              </w:rPr>
            </w:pPr>
            <w:r>
              <w:rPr>
                <w:rFonts w:asciiTheme="minorHAnsi" w:hAnsiTheme="minorHAnsi" w:cstheme="minorHAnsi"/>
                <w:sz w:val="20"/>
                <w:szCs w:val="20"/>
                <w:lang w:eastAsia="en-ZA"/>
              </w:rPr>
              <w:t>It indicates that the budgets are not fully funded and cost reflective tariffs are not being set.</w:t>
            </w:r>
          </w:p>
        </w:tc>
      </w:tr>
    </w:tbl>
    <w:p w14:paraId="215F0D95" w14:textId="77777777" w:rsidR="005A6DBB" w:rsidRDefault="005A6DBB">
      <w:pPr>
        <w:tabs>
          <w:tab w:val="left" w:pos="2292"/>
        </w:tabs>
        <w:rPr>
          <w:rFonts w:eastAsia="Tw Cen MT"/>
          <w:lang w:eastAsia="ja-JP"/>
        </w:rPr>
      </w:pPr>
    </w:p>
    <w:sectPr w:rsidR="005A6DBB">
      <w:headerReference w:type="default" r:id="rId71"/>
      <w:footerReference w:type="default" r:id="rId72"/>
      <w:headerReference w:type="first" r:id="rId73"/>
      <w:footerReference w:type="first" r:id="rId74"/>
      <w:pgSz w:w="16838" w:h="11906" w:orient="landscape"/>
      <w:pgMar w:top="1418" w:right="1418" w:bottom="1276" w:left="1418"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A6B19" w14:textId="77777777" w:rsidR="00F93099" w:rsidRDefault="00F93099">
      <w:pPr>
        <w:spacing w:line="240" w:lineRule="auto"/>
      </w:pPr>
      <w:r>
        <w:separator/>
      </w:r>
    </w:p>
  </w:endnote>
  <w:endnote w:type="continuationSeparator" w:id="0">
    <w:p w14:paraId="5F669E23" w14:textId="77777777" w:rsidR="00F93099" w:rsidRDefault="00F93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lim">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99B1" w14:textId="77777777" w:rsidR="005A6DBB" w:rsidRDefault="005A6DBB">
    <w:pPr>
      <w:pStyle w:val="Footer"/>
      <w:jc w:val="center"/>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293F"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5A6DBB" w14:paraId="703A2A6A" w14:textId="77777777">
      <w:tc>
        <w:tcPr>
          <w:tcW w:w="2616" w:type="pct"/>
          <w:tcBorders>
            <w:top w:val="single" w:sz="4" w:space="0" w:color="002060"/>
            <w:left w:val="nil"/>
            <w:bottom w:val="nil"/>
            <w:right w:val="nil"/>
          </w:tcBorders>
          <w:vAlign w:val="bottom"/>
        </w:tcPr>
        <w:p w14:paraId="2CA95305"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76E2A754"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36</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027A09BD" w14:textId="77777777" w:rsidR="005A6DBB" w:rsidRDefault="005A6DBB">
    <w:pPr>
      <w:pStyle w:val="Footer"/>
      <w:tabs>
        <w:tab w:val="clear" w:pos="4320"/>
        <w:tab w:val="clear" w:pos="8640"/>
        <w:tab w:val="left" w:pos="1021"/>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A6DBB" w14:paraId="791BFBA1" w14:textId="77777777">
      <w:trPr>
        <w:trHeight w:val="556"/>
      </w:trPr>
      <w:tc>
        <w:tcPr>
          <w:tcW w:w="2560" w:type="pct"/>
          <w:tcBorders>
            <w:top w:val="single" w:sz="4" w:space="0" w:color="002060"/>
            <w:left w:val="nil"/>
            <w:bottom w:val="nil"/>
            <w:right w:val="nil"/>
          </w:tcBorders>
          <w:vAlign w:val="bottom"/>
        </w:tcPr>
        <w:p w14:paraId="5EBC7A46"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7FABB3C1"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42</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41914DE4" w14:textId="77777777" w:rsidR="005A6DBB" w:rsidRDefault="005A6DB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95C8"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A6DBB" w14:paraId="7BFA5116" w14:textId="77777777">
      <w:tc>
        <w:tcPr>
          <w:tcW w:w="2616" w:type="pct"/>
          <w:tcBorders>
            <w:top w:val="single" w:sz="4" w:space="0" w:color="002060"/>
            <w:left w:val="nil"/>
            <w:bottom w:val="nil"/>
            <w:right w:val="nil"/>
          </w:tcBorders>
          <w:vAlign w:val="bottom"/>
        </w:tcPr>
        <w:p w14:paraId="46B516C9"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2C3803E6"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36</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4D05C495" w14:textId="77777777" w:rsidR="005A6DBB" w:rsidRDefault="005A6DBB">
    <w:pPr>
      <w:pStyle w:val="Footer"/>
      <w:tabs>
        <w:tab w:val="clear" w:pos="4320"/>
        <w:tab w:val="clear" w:pos="8640"/>
        <w:tab w:val="left" w:pos="1021"/>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A6DBB" w14:paraId="793C553C" w14:textId="77777777">
      <w:trPr>
        <w:trHeight w:val="556"/>
      </w:trPr>
      <w:tc>
        <w:tcPr>
          <w:tcW w:w="2560" w:type="pct"/>
          <w:tcBorders>
            <w:top w:val="single" w:sz="4" w:space="0" w:color="002060"/>
            <w:left w:val="nil"/>
            <w:bottom w:val="nil"/>
            <w:right w:val="nil"/>
          </w:tcBorders>
          <w:vAlign w:val="bottom"/>
        </w:tcPr>
        <w:p w14:paraId="05D25DAD"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72607383"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78</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1A9EC753" w14:textId="77777777" w:rsidR="005A6DBB" w:rsidRDefault="005A6DB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3610"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A6DBB" w14:paraId="293B3AD4" w14:textId="77777777">
      <w:tc>
        <w:tcPr>
          <w:tcW w:w="2616" w:type="pct"/>
          <w:tcBorders>
            <w:top w:val="single" w:sz="4" w:space="0" w:color="002060"/>
            <w:left w:val="nil"/>
            <w:bottom w:val="nil"/>
            <w:right w:val="nil"/>
          </w:tcBorders>
          <w:vAlign w:val="bottom"/>
        </w:tcPr>
        <w:p w14:paraId="6BACC885"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5E9585CF"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77</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604CAEAE" w14:textId="77777777" w:rsidR="005A6DBB" w:rsidRDefault="005A6DBB">
    <w:pPr>
      <w:pStyle w:val="Footer"/>
      <w:tabs>
        <w:tab w:val="clear" w:pos="4320"/>
        <w:tab w:val="clear" w:pos="8640"/>
        <w:tab w:val="left" w:pos="1021"/>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A6DBB" w14:paraId="0F9566DC" w14:textId="77777777">
      <w:trPr>
        <w:trHeight w:val="556"/>
      </w:trPr>
      <w:tc>
        <w:tcPr>
          <w:tcW w:w="2560" w:type="pct"/>
          <w:tcBorders>
            <w:top w:val="single" w:sz="4" w:space="0" w:color="002060"/>
            <w:left w:val="nil"/>
            <w:bottom w:val="nil"/>
            <w:right w:val="nil"/>
          </w:tcBorders>
          <w:vAlign w:val="bottom"/>
        </w:tcPr>
        <w:p w14:paraId="6B41D263"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57310B90"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81</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7197CDB3" w14:textId="77777777" w:rsidR="005A6DBB" w:rsidRDefault="005A6DB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3098"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A6DBB" w14:paraId="3C6292C8" w14:textId="77777777">
      <w:tc>
        <w:tcPr>
          <w:tcW w:w="2616" w:type="pct"/>
          <w:tcBorders>
            <w:top w:val="single" w:sz="4" w:space="0" w:color="002060"/>
            <w:left w:val="nil"/>
            <w:bottom w:val="nil"/>
            <w:right w:val="nil"/>
          </w:tcBorders>
          <w:vAlign w:val="bottom"/>
        </w:tcPr>
        <w:p w14:paraId="5393DE41"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6AC255CD"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79</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2CA5DF6B" w14:textId="77777777" w:rsidR="005A6DBB" w:rsidRDefault="005A6DBB">
    <w:pPr>
      <w:pStyle w:val="Footer"/>
      <w:tabs>
        <w:tab w:val="clear" w:pos="4320"/>
        <w:tab w:val="clear" w:pos="8640"/>
        <w:tab w:val="left" w:pos="1021"/>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D4F9"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5A6DBB" w14:paraId="77357CB7" w14:textId="77777777">
      <w:tc>
        <w:tcPr>
          <w:tcW w:w="2616" w:type="pct"/>
          <w:tcBorders>
            <w:top w:val="single" w:sz="4" w:space="0" w:color="002060"/>
            <w:left w:val="nil"/>
            <w:bottom w:val="nil"/>
            <w:right w:val="nil"/>
          </w:tcBorders>
          <w:vAlign w:val="bottom"/>
        </w:tcPr>
        <w:p w14:paraId="13EA30EC"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1A6386C2"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79</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59FE7A2E" w14:textId="77777777" w:rsidR="005A6DBB" w:rsidRDefault="005A6DBB">
    <w:pPr>
      <w:pStyle w:val="Footer"/>
      <w:tabs>
        <w:tab w:val="clear" w:pos="4320"/>
        <w:tab w:val="clear" w:pos="8640"/>
        <w:tab w:val="left" w:pos="1021"/>
      </w:tabs>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797A" w14:textId="77777777" w:rsidR="005A6DBB" w:rsidRDefault="005A6DBB">
    <w:pPr>
      <w:pStyle w:val="Footer"/>
      <w:tabs>
        <w:tab w:val="clear" w:pos="4320"/>
        <w:tab w:val="clear" w:pos="8640"/>
        <w:tab w:val="left" w:pos="1021"/>
      </w:tabs>
      <w:spacing w:line="240" w:lineRule="auto"/>
    </w:pP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038"/>
    </w:tblGrid>
    <w:tr w:rsidR="005A6DBB" w14:paraId="386938F0" w14:textId="77777777">
      <w:tc>
        <w:tcPr>
          <w:tcW w:w="1723" w:type="pct"/>
          <w:tcBorders>
            <w:top w:val="single" w:sz="4" w:space="0" w:color="002060"/>
            <w:left w:val="nil"/>
            <w:bottom w:val="nil"/>
            <w:right w:val="nil"/>
          </w:tcBorders>
          <w:vAlign w:val="bottom"/>
        </w:tcPr>
        <w:p w14:paraId="0BA011C5" w14:textId="77777777" w:rsidR="005A6DBB" w:rsidRDefault="005A6DBB">
          <w:pPr>
            <w:pStyle w:val="Header"/>
            <w:spacing w:before="120"/>
            <w:jc w:val="left"/>
            <w:rPr>
              <w:szCs w:val="22"/>
              <w:lang w:eastAsia="en-ZA"/>
            </w:rPr>
          </w:pPr>
        </w:p>
      </w:tc>
      <w:tc>
        <w:tcPr>
          <w:tcW w:w="3277" w:type="pct"/>
          <w:tcBorders>
            <w:top w:val="single" w:sz="4" w:space="0" w:color="002060"/>
            <w:left w:val="nil"/>
            <w:bottom w:val="nil"/>
            <w:right w:val="nil"/>
          </w:tcBorders>
          <w:vAlign w:val="center"/>
        </w:tcPr>
        <w:p w14:paraId="16D65AE1" w14:textId="77777777" w:rsidR="005A6DBB" w:rsidRDefault="00F93099">
          <w:pPr>
            <w:pStyle w:val="Header"/>
            <w:tabs>
              <w:tab w:val="clear" w:pos="8640"/>
            </w:tabs>
            <w:jc w:val="right"/>
            <w:rPr>
              <w:sz w:val="20"/>
              <w:szCs w:val="20"/>
              <w:lang w:eastAsia="en-ZA"/>
            </w:rPr>
          </w:pPr>
          <w:r>
            <w:rPr>
              <w:sz w:val="20"/>
              <w:lang w:eastAsia="en-ZA"/>
            </w:rPr>
            <w:t xml:space="preserve">Page </w:t>
          </w:r>
          <w:r>
            <w:rPr>
              <w:sz w:val="20"/>
              <w:lang w:eastAsia="en-ZA"/>
            </w:rPr>
            <w:fldChar w:fldCharType="begin"/>
          </w:r>
          <w:r>
            <w:rPr>
              <w:sz w:val="20"/>
              <w:lang w:eastAsia="en-ZA"/>
            </w:rPr>
            <w:instrText xml:space="preserve"> PAGE </w:instrText>
          </w:r>
          <w:r>
            <w:rPr>
              <w:sz w:val="20"/>
              <w:lang w:eastAsia="en-ZA"/>
            </w:rPr>
            <w:fldChar w:fldCharType="separate"/>
          </w:r>
          <w:r>
            <w:rPr>
              <w:sz w:val="20"/>
              <w:lang w:eastAsia="en-ZA"/>
            </w:rPr>
            <w:t>80</w:t>
          </w:r>
          <w:r>
            <w:rPr>
              <w:sz w:val="20"/>
              <w:lang w:eastAsia="en-ZA"/>
            </w:rPr>
            <w:fldChar w:fldCharType="end"/>
          </w:r>
          <w:r>
            <w:rPr>
              <w:sz w:val="20"/>
              <w:lang w:eastAsia="en-ZA"/>
            </w:rPr>
            <w:t xml:space="preserve"> of </w:t>
          </w:r>
          <w:r>
            <w:rPr>
              <w:sz w:val="20"/>
              <w:lang w:eastAsia="en-ZA"/>
            </w:rPr>
            <w:fldChar w:fldCharType="begin"/>
          </w:r>
          <w:r>
            <w:rPr>
              <w:sz w:val="20"/>
              <w:lang w:eastAsia="en-ZA"/>
            </w:rPr>
            <w:instrText xml:space="preserve"> NUMPAGES  </w:instrText>
          </w:r>
          <w:r>
            <w:rPr>
              <w:sz w:val="20"/>
              <w:lang w:eastAsia="en-ZA"/>
            </w:rPr>
            <w:fldChar w:fldCharType="separate"/>
          </w:r>
          <w:r>
            <w:rPr>
              <w:sz w:val="20"/>
              <w:lang w:eastAsia="en-ZA"/>
            </w:rPr>
            <w:t>100</w:t>
          </w:r>
          <w:r>
            <w:rPr>
              <w:sz w:val="20"/>
              <w:lang w:eastAsia="en-ZA"/>
            </w:rPr>
            <w:fldChar w:fldCharType="end"/>
          </w:r>
        </w:p>
      </w:tc>
    </w:tr>
  </w:tbl>
  <w:p w14:paraId="37BA28CD" w14:textId="77777777" w:rsidR="005A6DBB" w:rsidRDefault="005A6DBB">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A6DBB" w14:paraId="781736DD" w14:textId="77777777">
      <w:trPr>
        <w:trHeight w:val="556"/>
      </w:trPr>
      <w:tc>
        <w:tcPr>
          <w:tcW w:w="2560" w:type="pct"/>
          <w:tcBorders>
            <w:top w:val="single" w:sz="4" w:space="0" w:color="002060"/>
            <w:left w:val="nil"/>
            <w:bottom w:val="nil"/>
            <w:right w:val="nil"/>
          </w:tcBorders>
          <w:vAlign w:val="bottom"/>
        </w:tcPr>
        <w:p w14:paraId="2D120BD2"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285C4D89"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86</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2DA0C209" w14:textId="77777777" w:rsidR="005A6DBB" w:rsidRDefault="005A6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0773B" w14:textId="77777777" w:rsidR="005A6DBB" w:rsidRDefault="00F93099">
    <w:pPr>
      <w:pStyle w:val="Footer"/>
      <w:tabs>
        <w:tab w:val="clear" w:pos="4320"/>
        <w:tab w:val="clear" w:pos="8640"/>
        <w:tab w:val="left" w:pos="1021"/>
      </w:tabs>
    </w:pPr>
    <w:r>
      <w:tab/>
    </w:r>
  </w:p>
  <w:tbl>
    <w:tblPr>
      <w:tblStyle w:val="TableGrid"/>
      <w:tblW w:w="0" w:type="auto"/>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393"/>
    </w:tblGrid>
    <w:tr w:rsidR="005A6DBB" w14:paraId="26DBF107" w14:textId="77777777">
      <w:tc>
        <w:tcPr>
          <w:tcW w:w="4836" w:type="dxa"/>
          <w:tcBorders>
            <w:top w:val="single" w:sz="4" w:space="0" w:color="002060"/>
            <w:left w:val="nil"/>
            <w:bottom w:val="nil"/>
            <w:right w:val="nil"/>
          </w:tcBorders>
          <w:vAlign w:val="bottom"/>
        </w:tcPr>
        <w:p w14:paraId="483AEF92" w14:textId="77777777" w:rsidR="005A6DBB" w:rsidRDefault="005A6DBB">
          <w:pPr>
            <w:pStyle w:val="Header"/>
            <w:spacing w:before="120"/>
            <w:jc w:val="left"/>
            <w:rPr>
              <w:sz w:val="20"/>
              <w:lang w:eastAsia="en-ZA"/>
            </w:rPr>
          </w:pPr>
        </w:p>
      </w:tc>
      <w:tc>
        <w:tcPr>
          <w:tcW w:w="4406" w:type="dxa"/>
          <w:tcBorders>
            <w:top w:val="single" w:sz="4" w:space="0" w:color="002060"/>
            <w:left w:val="nil"/>
            <w:bottom w:val="nil"/>
            <w:right w:val="nil"/>
          </w:tcBorders>
          <w:vAlign w:val="center"/>
        </w:tcPr>
        <w:p w14:paraId="1805856A"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2</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5EBA51E3" w14:textId="77777777" w:rsidR="005A6DBB" w:rsidRDefault="005A6DBB">
    <w:pPr>
      <w:pStyle w:val="Footer"/>
      <w:tabs>
        <w:tab w:val="clear" w:pos="4320"/>
        <w:tab w:val="clear" w:pos="8640"/>
        <w:tab w:val="left" w:pos="1021"/>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9FED" w14:textId="77777777" w:rsidR="005A6DBB" w:rsidRDefault="005A6DBB">
    <w:pPr>
      <w:pStyle w:val="Footer"/>
      <w:tabs>
        <w:tab w:val="clear" w:pos="4320"/>
        <w:tab w:val="clear" w:pos="8640"/>
        <w:tab w:val="left" w:pos="1021"/>
      </w:tabs>
      <w:spacing w:line="240" w:lineRule="auto"/>
    </w:pP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9177"/>
    </w:tblGrid>
    <w:tr w:rsidR="005A6DBB" w14:paraId="5A5B5A6A" w14:textId="77777777">
      <w:tc>
        <w:tcPr>
          <w:tcW w:w="1723" w:type="pct"/>
          <w:tcBorders>
            <w:top w:val="single" w:sz="4" w:space="0" w:color="002060"/>
            <w:left w:val="nil"/>
            <w:bottom w:val="nil"/>
            <w:right w:val="nil"/>
          </w:tcBorders>
          <w:vAlign w:val="bottom"/>
        </w:tcPr>
        <w:p w14:paraId="2F52335F" w14:textId="77777777" w:rsidR="005A6DBB" w:rsidRDefault="005A6DBB">
          <w:pPr>
            <w:pStyle w:val="Header"/>
            <w:spacing w:before="120"/>
            <w:jc w:val="left"/>
            <w:rPr>
              <w:szCs w:val="22"/>
              <w:lang w:eastAsia="en-ZA"/>
            </w:rPr>
          </w:pPr>
        </w:p>
      </w:tc>
      <w:tc>
        <w:tcPr>
          <w:tcW w:w="3277" w:type="pct"/>
          <w:tcBorders>
            <w:top w:val="single" w:sz="4" w:space="0" w:color="002060"/>
            <w:left w:val="nil"/>
            <w:bottom w:val="nil"/>
            <w:right w:val="nil"/>
          </w:tcBorders>
          <w:vAlign w:val="center"/>
        </w:tcPr>
        <w:p w14:paraId="7F89890B" w14:textId="77777777" w:rsidR="005A6DBB" w:rsidRDefault="00F93099">
          <w:pPr>
            <w:pStyle w:val="Header"/>
            <w:tabs>
              <w:tab w:val="clear" w:pos="8640"/>
            </w:tabs>
            <w:jc w:val="right"/>
            <w:rPr>
              <w:sz w:val="20"/>
              <w:szCs w:val="20"/>
              <w:lang w:eastAsia="en-ZA"/>
            </w:rPr>
          </w:pPr>
          <w:r>
            <w:rPr>
              <w:sz w:val="20"/>
              <w:lang w:eastAsia="en-ZA"/>
            </w:rPr>
            <w:t xml:space="preserve">Page </w:t>
          </w:r>
          <w:r>
            <w:rPr>
              <w:sz w:val="20"/>
              <w:lang w:eastAsia="en-ZA"/>
            </w:rPr>
            <w:fldChar w:fldCharType="begin"/>
          </w:r>
          <w:r>
            <w:rPr>
              <w:sz w:val="20"/>
              <w:lang w:eastAsia="en-ZA"/>
            </w:rPr>
            <w:instrText xml:space="preserve"> PAGE </w:instrText>
          </w:r>
          <w:r>
            <w:rPr>
              <w:sz w:val="20"/>
              <w:lang w:eastAsia="en-ZA"/>
            </w:rPr>
            <w:fldChar w:fldCharType="separate"/>
          </w:r>
          <w:r>
            <w:rPr>
              <w:sz w:val="20"/>
              <w:lang w:eastAsia="en-ZA"/>
            </w:rPr>
            <w:t>82</w:t>
          </w:r>
          <w:r>
            <w:rPr>
              <w:sz w:val="20"/>
              <w:lang w:eastAsia="en-ZA"/>
            </w:rPr>
            <w:fldChar w:fldCharType="end"/>
          </w:r>
          <w:r>
            <w:rPr>
              <w:sz w:val="20"/>
              <w:lang w:eastAsia="en-ZA"/>
            </w:rPr>
            <w:t xml:space="preserve"> of </w:t>
          </w:r>
          <w:r>
            <w:rPr>
              <w:sz w:val="20"/>
              <w:lang w:eastAsia="en-ZA"/>
            </w:rPr>
            <w:fldChar w:fldCharType="begin"/>
          </w:r>
          <w:r>
            <w:rPr>
              <w:sz w:val="20"/>
              <w:lang w:eastAsia="en-ZA"/>
            </w:rPr>
            <w:instrText xml:space="preserve"> NUMPAGES  </w:instrText>
          </w:r>
          <w:r>
            <w:rPr>
              <w:sz w:val="20"/>
              <w:lang w:eastAsia="en-ZA"/>
            </w:rPr>
            <w:fldChar w:fldCharType="separate"/>
          </w:r>
          <w:r>
            <w:rPr>
              <w:sz w:val="20"/>
              <w:lang w:eastAsia="en-ZA"/>
            </w:rPr>
            <w:t>100</w:t>
          </w:r>
          <w:r>
            <w:rPr>
              <w:sz w:val="20"/>
              <w:lang w:eastAsia="en-ZA"/>
            </w:rPr>
            <w:fldChar w:fldCharType="end"/>
          </w:r>
        </w:p>
      </w:tc>
    </w:tr>
  </w:tbl>
  <w:p w14:paraId="7DA8723D" w14:textId="77777777" w:rsidR="005A6DBB" w:rsidRDefault="005A6DBB">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A6DBB" w14:paraId="582B99C3" w14:textId="77777777">
      <w:trPr>
        <w:trHeight w:val="556"/>
      </w:trPr>
      <w:tc>
        <w:tcPr>
          <w:tcW w:w="2560" w:type="pct"/>
          <w:tcBorders>
            <w:top w:val="single" w:sz="4" w:space="0" w:color="002060"/>
            <w:left w:val="nil"/>
            <w:bottom w:val="nil"/>
            <w:right w:val="nil"/>
          </w:tcBorders>
          <w:vAlign w:val="bottom"/>
        </w:tcPr>
        <w:p w14:paraId="47684837"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06A73868"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99</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1BB6BF95" w14:textId="77777777" w:rsidR="005A6DBB" w:rsidRDefault="005A6DB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9177"/>
    </w:tblGrid>
    <w:tr w:rsidR="005A6DBB" w14:paraId="760259DE" w14:textId="77777777">
      <w:tc>
        <w:tcPr>
          <w:tcW w:w="1723" w:type="pct"/>
          <w:tcBorders>
            <w:top w:val="single" w:sz="4" w:space="0" w:color="002060"/>
            <w:left w:val="nil"/>
            <w:bottom w:val="nil"/>
            <w:right w:val="nil"/>
          </w:tcBorders>
          <w:vAlign w:val="bottom"/>
        </w:tcPr>
        <w:p w14:paraId="3D233452" w14:textId="77777777" w:rsidR="005A6DBB" w:rsidRDefault="005A6DBB">
          <w:pPr>
            <w:pStyle w:val="Header"/>
            <w:spacing w:before="120"/>
            <w:jc w:val="left"/>
            <w:rPr>
              <w:szCs w:val="22"/>
              <w:lang w:eastAsia="en-ZA"/>
            </w:rPr>
          </w:pPr>
        </w:p>
      </w:tc>
      <w:tc>
        <w:tcPr>
          <w:tcW w:w="3277" w:type="pct"/>
          <w:tcBorders>
            <w:top w:val="single" w:sz="4" w:space="0" w:color="002060"/>
            <w:left w:val="nil"/>
            <w:bottom w:val="nil"/>
            <w:right w:val="nil"/>
          </w:tcBorders>
          <w:vAlign w:val="center"/>
        </w:tcPr>
        <w:p w14:paraId="0A9AF6FF" w14:textId="77777777" w:rsidR="005A6DBB" w:rsidRDefault="00F93099">
          <w:pPr>
            <w:pStyle w:val="Header"/>
            <w:tabs>
              <w:tab w:val="clear" w:pos="8640"/>
            </w:tabs>
            <w:jc w:val="right"/>
            <w:rPr>
              <w:sz w:val="20"/>
              <w:szCs w:val="20"/>
              <w:lang w:eastAsia="en-ZA"/>
            </w:rPr>
          </w:pPr>
          <w:r>
            <w:rPr>
              <w:sz w:val="20"/>
              <w:lang w:eastAsia="en-ZA"/>
            </w:rPr>
            <w:t xml:space="preserve">Page </w:t>
          </w:r>
          <w:r>
            <w:rPr>
              <w:sz w:val="20"/>
              <w:lang w:eastAsia="en-ZA"/>
            </w:rPr>
            <w:fldChar w:fldCharType="begin"/>
          </w:r>
          <w:r>
            <w:rPr>
              <w:sz w:val="20"/>
              <w:lang w:eastAsia="en-ZA"/>
            </w:rPr>
            <w:instrText xml:space="preserve"> PAGE </w:instrText>
          </w:r>
          <w:r>
            <w:rPr>
              <w:sz w:val="20"/>
              <w:lang w:eastAsia="en-ZA"/>
            </w:rPr>
            <w:fldChar w:fldCharType="separate"/>
          </w:r>
          <w:r>
            <w:rPr>
              <w:sz w:val="20"/>
              <w:lang w:eastAsia="en-ZA"/>
            </w:rPr>
            <w:t>87</w:t>
          </w:r>
          <w:r>
            <w:rPr>
              <w:sz w:val="20"/>
              <w:lang w:eastAsia="en-ZA"/>
            </w:rPr>
            <w:fldChar w:fldCharType="end"/>
          </w:r>
          <w:r>
            <w:rPr>
              <w:sz w:val="20"/>
              <w:lang w:eastAsia="en-ZA"/>
            </w:rPr>
            <w:t xml:space="preserve"> of </w:t>
          </w:r>
          <w:r>
            <w:rPr>
              <w:sz w:val="20"/>
              <w:lang w:eastAsia="en-ZA"/>
            </w:rPr>
            <w:fldChar w:fldCharType="begin"/>
          </w:r>
          <w:r>
            <w:rPr>
              <w:sz w:val="20"/>
              <w:lang w:eastAsia="en-ZA"/>
            </w:rPr>
            <w:instrText xml:space="preserve"> NUMPAGES  </w:instrText>
          </w:r>
          <w:r>
            <w:rPr>
              <w:sz w:val="20"/>
              <w:lang w:eastAsia="en-ZA"/>
            </w:rPr>
            <w:fldChar w:fldCharType="separate"/>
          </w:r>
          <w:r>
            <w:rPr>
              <w:sz w:val="20"/>
              <w:lang w:eastAsia="en-ZA"/>
            </w:rPr>
            <w:t>100</w:t>
          </w:r>
          <w:r>
            <w:rPr>
              <w:sz w:val="20"/>
              <w:lang w:eastAsia="en-ZA"/>
            </w:rPr>
            <w:fldChar w:fldCharType="end"/>
          </w:r>
        </w:p>
      </w:tc>
    </w:tr>
  </w:tbl>
  <w:p w14:paraId="533E938E" w14:textId="77777777" w:rsidR="005A6DBB" w:rsidRDefault="005A6DBB">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496"/>
    </w:tblGrid>
    <w:tr w:rsidR="005A6DBB" w14:paraId="24718FAB" w14:textId="77777777">
      <w:trPr>
        <w:trHeight w:val="556"/>
      </w:trPr>
      <w:tc>
        <w:tcPr>
          <w:tcW w:w="2560" w:type="pct"/>
          <w:tcBorders>
            <w:top w:val="single" w:sz="4" w:space="0" w:color="002060"/>
            <w:left w:val="nil"/>
            <w:bottom w:val="nil"/>
            <w:right w:val="nil"/>
          </w:tcBorders>
          <w:vAlign w:val="bottom"/>
        </w:tcPr>
        <w:p w14:paraId="0DE7C13A"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0EEC9089"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23</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33A159EE" w14:textId="77777777" w:rsidR="005A6DBB" w:rsidRDefault="005A6D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CA51"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A6DBB" w14:paraId="306EAC85" w14:textId="77777777">
      <w:tc>
        <w:tcPr>
          <w:tcW w:w="2616" w:type="pct"/>
          <w:tcBorders>
            <w:top w:val="single" w:sz="4" w:space="0" w:color="002060"/>
            <w:left w:val="nil"/>
            <w:bottom w:val="nil"/>
            <w:right w:val="nil"/>
          </w:tcBorders>
          <w:vAlign w:val="bottom"/>
        </w:tcPr>
        <w:p w14:paraId="4D5F3F92"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5A169C15"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22</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20DD2A75" w14:textId="77777777" w:rsidR="005A6DBB" w:rsidRDefault="005A6DBB">
    <w:pPr>
      <w:pStyle w:val="Footer"/>
      <w:tabs>
        <w:tab w:val="clear" w:pos="4320"/>
        <w:tab w:val="clear" w:pos="8640"/>
        <w:tab w:val="left" w:pos="102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A6DBB" w14:paraId="3DA28C85" w14:textId="77777777">
      <w:trPr>
        <w:trHeight w:val="556"/>
      </w:trPr>
      <w:tc>
        <w:tcPr>
          <w:tcW w:w="2560" w:type="pct"/>
          <w:tcBorders>
            <w:top w:val="single" w:sz="4" w:space="0" w:color="002060"/>
            <w:left w:val="nil"/>
            <w:bottom w:val="nil"/>
            <w:right w:val="nil"/>
          </w:tcBorders>
          <w:vAlign w:val="bottom"/>
        </w:tcPr>
        <w:p w14:paraId="30A1B618"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46D3925B"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35</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1FF58D88" w14:textId="77777777" w:rsidR="005A6DBB" w:rsidRDefault="005A6D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3E5F"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6"/>
      <w:gridCol w:w="6676"/>
    </w:tblGrid>
    <w:tr w:rsidR="005A6DBB" w14:paraId="555D4065" w14:textId="77777777">
      <w:tc>
        <w:tcPr>
          <w:tcW w:w="2616" w:type="pct"/>
          <w:tcBorders>
            <w:top w:val="single" w:sz="4" w:space="0" w:color="002060"/>
            <w:left w:val="nil"/>
            <w:bottom w:val="nil"/>
            <w:right w:val="nil"/>
          </w:tcBorders>
          <w:vAlign w:val="bottom"/>
        </w:tcPr>
        <w:p w14:paraId="1D399649"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454724D8"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32</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757C38EE" w14:textId="77777777" w:rsidR="005A6DBB" w:rsidRDefault="005A6DBB">
    <w:pPr>
      <w:pStyle w:val="Footer"/>
      <w:tabs>
        <w:tab w:val="clear" w:pos="4320"/>
        <w:tab w:val="clear" w:pos="8640"/>
        <w:tab w:val="left" w:pos="1021"/>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495"/>
    </w:tblGrid>
    <w:tr w:rsidR="005A6DBB" w14:paraId="5EB66BC0" w14:textId="77777777">
      <w:trPr>
        <w:trHeight w:val="556"/>
      </w:trPr>
      <w:tc>
        <w:tcPr>
          <w:tcW w:w="2560" w:type="pct"/>
          <w:tcBorders>
            <w:top w:val="single" w:sz="4" w:space="0" w:color="002060"/>
            <w:left w:val="nil"/>
            <w:bottom w:val="nil"/>
            <w:right w:val="nil"/>
          </w:tcBorders>
          <w:vAlign w:val="bottom"/>
        </w:tcPr>
        <w:p w14:paraId="125BB36A"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62FEA96B"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42</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17508496" w14:textId="77777777" w:rsidR="005A6DBB" w:rsidRDefault="005A6D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C793" w14:textId="77777777" w:rsidR="005A6DBB" w:rsidRDefault="00F93099">
    <w:pPr>
      <w:pStyle w:val="Footer"/>
      <w:tabs>
        <w:tab w:val="clear" w:pos="4320"/>
        <w:tab w:val="clear" w:pos="8640"/>
        <w:tab w:val="left" w:pos="1021"/>
      </w:tabs>
    </w:pPr>
    <w:r>
      <w:tab/>
    </w:r>
  </w:p>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2"/>
    </w:tblGrid>
    <w:tr w:rsidR="005A6DBB" w14:paraId="3496E0E3" w14:textId="77777777">
      <w:tc>
        <w:tcPr>
          <w:tcW w:w="2616" w:type="pct"/>
          <w:tcBorders>
            <w:top w:val="single" w:sz="4" w:space="0" w:color="002060"/>
            <w:left w:val="nil"/>
            <w:bottom w:val="nil"/>
            <w:right w:val="nil"/>
          </w:tcBorders>
          <w:vAlign w:val="bottom"/>
        </w:tcPr>
        <w:p w14:paraId="154551B5" w14:textId="77777777" w:rsidR="005A6DBB" w:rsidRDefault="005A6DBB">
          <w:pPr>
            <w:pStyle w:val="Header"/>
            <w:spacing w:before="120"/>
            <w:jc w:val="left"/>
            <w:rPr>
              <w:sz w:val="20"/>
              <w:lang w:eastAsia="en-ZA"/>
            </w:rPr>
          </w:pPr>
        </w:p>
      </w:tc>
      <w:tc>
        <w:tcPr>
          <w:tcW w:w="2384" w:type="pct"/>
          <w:tcBorders>
            <w:top w:val="single" w:sz="4" w:space="0" w:color="002060"/>
            <w:left w:val="nil"/>
            <w:bottom w:val="nil"/>
            <w:right w:val="nil"/>
          </w:tcBorders>
          <w:vAlign w:val="center"/>
        </w:tcPr>
        <w:p w14:paraId="1F5C5789" w14:textId="77777777" w:rsidR="005A6DBB" w:rsidRDefault="00F93099">
          <w:pPr>
            <w:pStyle w:val="Header"/>
            <w:jc w:val="right"/>
            <w:rPr>
              <w:sz w:val="20"/>
              <w:szCs w:val="20"/>
              <w:lang w:eastAsia="en-ZA"/>
            </w:rPr>
          </w:pPr>
          <w:r>
            <w:rPr>
              <w:sz w:val="20"/>
              <w:lang w:eastAsia="en-ZA"/>
            </w:rPr>
            <w:t xml:space="preserve">Page </w:t>
          </w:r>
          <w:r>
            <w:rPr>
              <w:b/>
              <w:bCs/>
              <w:sz w:val="20"/>
              <w:lang w:eastAsia="en-ZA"/>
            </w:rPr>
            <w:fldChar w:fldCharType="begin"/>
          </w:r>
          <w:r>
            <w:rPr>
              <w:bCs/>
              <w:sz w:val="20"/>
              <w:lang w:eastAsia="en-ZA"/>
            </w:rPr>
            <w:instrText xml:space="preserve"> PAGE </w:instrText>
          </w:r>
          <w:r>
            <w:rPr>
              <w:b/>
              <w:bCs/>
              <w:sz w:val="20"/>
              <w:lang w:eastAsia="en-ZA"/>
            </w:rPr>
            <w:fldChar w:fldCharType="separate"/>
          </w:r>
          <w:r>
            <w:rPr>
              <w:bCs/>
              <w:sz w:val="20"/>
              <w:lang w:eastAsia="en-ZA"/>
            </w:rPr>
            <w:t>36</w:t>
          </w:r>
          <w:r>
            <w:rPr>
              <w:b/>
              <w:bCs/>
              <w:sz w:val="20"/>
              <w:lang w:eastAsia="en-ZA"/>
            </w:rPr>
            <w:fldChar w:fldCharType="end"/>
          </w:r>
          <w:r>
            <w:rPr>
              <w:sz w:val="20"/>
              <w:lang w:eastAsia="en-ZA"/>
            </w:rPr>
            <w:t xml:space="preserve"> of </w:t>
          </w:r>
          <w:r>
            <w:rPr>
              <w:b/>
              <w:bCs/>
              <w:sz w:val="20"/>
              <w:lang w:eastAsia="en-ZA"/>
            </w:rPr>
            <w:fldChar w:fldCharType="begin"/>
          </w:r>
          <w:r>
            <w:rPr>
              <w:bCs/>
              <w:sz w:val="20"/>
              <w:lang w:eastAsia="en-ZA"/>
            </w:rPr>
            <w:instrText xml:space="preserve"> NUMPAGES  </w:instrText>
          </w:r>
          <w:r>
            <w:rPr>
              <w:b/>
              <w:bCs/>
              <w:sz w:val="20"/>
              <w:lang w:eastAsia="en-ZA"/>
            </w:rPr>
            <w:fldChar w:fldCharType="separate"/>
          </w:r>
          <w:r>
            <w:rPr>
              <w:bCs/>
              <w:sz w:val="20"/>
              <w:lang w:eastAsia="en-ZA"/>
            </w:rPr>
            <w:t>100</w:t>
          </w:r>
          <w:r>
            <w:rPr>
              <w:b/>
              <w:bCs/>
              <w:sz w:val="20"/>
              <w:lang w:eastAsia="en-ZA"/>
            </w:rPr>
            <w:fldChar w:fldCharType="end"/>
          </w:r>
        </w:p>
      </w:tc>
    </w:tr>
  </w:tbl>
  <w:p w14:paraId="1B3E2E32" w14:textId="77777777" w:rsidR="005A6DBB" w:rsidRDefault="005A6DBB">
    <w:pPr>
      <w:pStyle w:val="Footer"/>
      <w:tabs>
        <w:tab w:val="clear" w:pos="4320"/>
        <w:tab w:val="clear" w:pos="8640"/>
        <w:tab w:val="left" w:pos="1021"/>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9"/>
      <w:gridCol w:w="6833"/>
    </w:tblGrid>
    <w:tr w:rsidR="005A6DBB" w14:paraId="39B7303A" w14:textId="77777777">
      <w:trPr>
        <w:trHeight w:val="556"/>
      </w:trPr>
      <w:tc>
        <w:tcPr>
          <w:tcW w:w="2560" w:type="pct"/>
          <w:tcBorders>
            <w:top w:val="single" w:sz="4" w:space="0" w:color="002060"/>
            <w:left w:val="nil"/>
            <w:bottom w:val="nil"/>
            <w:right w:val="nil"/>
          </w:tcBorders>
          <w:vAlign w:val="bottom"/>
        </w:tcPr>
        <w:p w14:paraId="1E853C93" w14:textId="77777777" w:rsidR="005A6DBB" w:rsidRDefault="005A6DBB">
          <w:pPr>
            <w:pStyle w:val="Header"/>
            <w:tabs>
              <w:tab w:val="clear" w:pos="8640"/>
              <w:tab w:val="right" w:pos="4566"/>
            </w:tabs>
            <w:spacing w:before="120" w:after="120"/>
            <w:rPr>
              <w:szCs w:val="22"/>
              <w:lang w:eastAsia="en-ZA"/>
            </w:rPr>
          </w:pPr>
        </w:p>
      </w:tc>
      <w:tc>
        <w:tcPr>
          <w:tcW w:w="2440" w:type="pct"/>
          <w:tcBorders>
            <w:top w:val="single" w:sz="4" w:space="0" w:color="002060"/>
            <w:left w:val="nil"/>
            <w:bottom w:val="nil"/>
            <w:right w:val="nil"/>
          </w:tcBorders>
          <w:vAlign w:val="center"/>
        </w:tcPr>
        <w:p w14:paraId="78719D94" w14:textId="77777777" w:rsidR="005A6DBB" w:rsidRDefault="00F93099">
          <w:pPr>
            <w:pStyle w:val="Header"/>
            <w:jc w:val="right"/>
            <w:rPr>
              <w:bCs/>
              <w:sz w:val="20"/>
              <w:szCs w:val="20"/>
              <w:lang w:eastAsia="en-ZA"/>
            </w:rPr>
          </w:pPr>
          <w:r>
            <w:rPr>
              <w:bCs/>
              <w:sz w:val="20"/>
              <w:lang w:eastAsia="en-ZA"/>
            </w:rPr>
            <w:t xml:space="preserve">Page </w:t>
          </w:r>
          <w:r>
            <w:rPr>
              <w:bCs/>
              <w:sz w:val="20"/>
              <w:lang w:eastAsia="en-ZA"/>
            </w:rPr>
            <w:fldChar w:fldCharType="begin"/>
          </w:r>
          <w:r>
            <w:rPr>
              <w:bCs/>
              <w:sz w:val="20"/>
              <w:lang w:eastAsia="en-ZA"/>
            </w:rPr>
            <w:instrText xml:space="preserve"> PAGE </w:instrText>
          </w:r>
          <w:r>
            <w:rPr>
              <w:bCs/>
              <w:sz w:val="20"/>
              <w:lang w:eastAsia="en-ZA"/>
            </w:rPr>
            <w:fldChar w:fldCharType="separate"/>
          </w:r>
          <w:r>
            <w:rPr>
              <w:bCs/>
              <w:sz w:val="20"/>
              <w:lang w:eastAsia="en-ZA"/>
            </w:rPr>
            <w:t>42</w:t>
          </w:r>
          <w:r>
            <w:rPr>
              <w:bCs/>
              <w:sz w:val="20"/>
              <w:lang w:eastAsia="en-ZA"/>
            </w:rPr>
            <w:fldChar w:fldCharType="end"/>
          </w:r>
          <w:r>
            <w:rPr>
              <w:bCs/>
            </w:rPr>
            <w:t xml:space="preserve"> of </w:t>
          </w:r>
          <w:r>
            <w:rPr>
              <w:bCs/>
              <w:sz w:val="20"/>
              <w:lang w:eastAsia="en-ZA"/>
            </w:rPr>
            <w:fldChar w:fldCharType="begin"/>
          </w:r>
          <w:r>
            <w:rPr>
              <w:bCs/>
              <w:sz w:val="20"/>
              <w:lang w:eastAsia="en-ZA"/>
            </w:rPr>
            <w:instrText xml:space="preserve"> NUMPAGES  </w:instrText>
          </w:r>
          <w:r>
            <w:rPr>
              <w:bCs/>
              <w:sz w:val="20"/>
              <w:lang w:eastAsia="en-ZA"/>
            </w:rPr>
            <w:fldChar w:fldCharType="separate"/>
          </w:r>
          <w:r>
            <w:rPr>
              <w:bCs/>
              <w:sz w:val="20"/>
              <w:lang w:eastAsia="en-ZA"/>
            </w:rPr>
            <w:t>100</w:t>
          </w:r>
          <w:r>
            <w:rPr>
              <w:bCs/>
              <w:sz w:val="20"/>
              <w:lang w:eastAsia="en-ZA"/>
            </w:rPr>
            <w:fldChar w:fldCharType="end"/>
          </w:r>
        </w:p>
      </w:tc>
    </w:tr>
  </w:tbl>
  <w:p w14:paraId="43C1E57B" w14:textId="77777777" w:rsidR="005A6DBB" w:rsidRDefault="005A6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CD0EF" w14:textId="77777777" w:rsidR="00F93099" w:rsidRDefault="00F93099">
      <w:r>
        <w:separator/>
      </w:r>
    </w:p>
  </w:footnote>
  <w:footnote w:type="continuationSeparator" w:id="0">
    <w:p w14:paraId="51C632C9" w14:textId="77777777" w:rsidR="00F93099" w:rsidRDefault="00F93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8"/>
      <w:gridCol w:w="1512"/>
      <w:gridCol w:w="222"/>
    </w:tblGrid>
    <w:tr w:rsidR="005A6DBB" w14:paraId="61CCD119" w14:textId="77777777">
      <w:trPr>
        <w:trHeight w:val="1075"/>
        <w:jc w:val="center"/>
      </w:trPr>
      <w:tc>
        <w:tcPr>
          <w:tcW w:w="115" w:type="pct"/>
          <w:tcBorders>
            <w:top w:val="nil"/>
            <w:left w:val="nil"/>
            <w:bottom w:val="single" w:sz="4" w:space="0" w:color="auto"/>
            <w:right w:val="nil"/>
          </w:tcBorders>
          <w:shd w:val="clear" w:color="auto" w:fill="005A84"/>
        </w:tcPr>
        <w:p w14:paraId="4D0FCAFF"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71EB6403"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6E68BCF3"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4325ABD7"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173E30CC"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50007FD5" wp14:editId="3E34ED50">
                <wp:extent cx="822960" cy="457200"/>
                <wp:effectExtent l="0" t="0" r="0" b="0"/>
                <wp:docPr id="1508319389" name="Picture 1508319389"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89" name="Picture 1508319389"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7E2C5D8" w14:textId="77777777" w:rsidR="005A6DBB" w:rsidRDefault="005A6DBB">
          <w:pPr>
            <w:rPr>
              <w:sz w:val="20"/>
              <w:szCs w:val="20"/>
              <w:lang w:eastAsia="en-ZA"/>
            </w:rPr>
          </w:pPr>
        </w:p>
      </w:tc>
    </w:tr>
  </w:tbl>
  <w:p w14:paraId="097E9FED" w14:textId="77777777" w:rsidR="005A6DBB" w:rsidRDefault="005A6DBB">
    <w:pPr>
      <w:pStyle w:val="Header"/>
      <w:spacing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764D10DF" w14:textId="77777777">
      <w:trPr>
        <w:trHeight w:val="1075"/>
        <w:jc w:val="center"/>
      </w:trPr>
      <w:tc>
        <w:tcPr>
          <w:tcW w:w="122" w:type="pct"/>
          <w:tcBorders>
            <w:top w:val="nil"/>
            <w:left w:val="nil"/>
            <w:bottom w:val="single" w:sz="4" w:space="0" w:color="auto"/>
            <w:right w:val="nil"/>
          </w:tcBorders>
          <w:shd w:val="clear" w:color="auto" w:fill="005A84"/>
        </w:tcPr>
        <w:p w14:paraId="292C9E63" w14:textId="77777777" w:rsidR="005A6DBB" w:rsidRDefault="005A6DBB">
          <w:pPr>
            <w:spacing w:line="240" w:lineRule="auto"/>
            <w:ind w:left="-198" w:firstLine="41"/>
            <w:rPr>
              <w:sz w:val="20"/>
              <w:szCs w:val="20"/>
              <w:lang w:eastAsia="en-ZA"/>
            </w:rPr>
          </w:pPr>
        </w:p>
      </w:tc>
      <w:tc>
        <w:tcPr>
          <w:tcW w:w="3661" w:type="pct"/>
          <w:tcBorders>
            <w:top w:val="nil"/>
            <w:left w:val="nil"/>
            <w:bottom w:val="single" w:sz="4" w:space="0" w:color="auto"/>
            <w:right w:val="nil"/>
          </w:tcBorders>
          <w:vAlign w:val="center"/>
        </w:tcPr>
        <w:p w14:paraId="2FC4F270"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31958E8D"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518A8539"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1095" w:type="pct"/>
          <w:tcBorders>
            <w:top w:val="nil"/>
            <w:left w:val="nil"/>
            <w:bottom w:val="single" w:sz="4" w:space="0" w:color="auto"/>
            <w:right w:val="nil"/>
          </w:tcBorders>
          <w:vAlign w:val="center"/>
        </w:tcPr>
        <w:p w14:paraId="4A25B8EB"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6CCA5375" wp14:editId="28F0B10F">
                <wp:extent cx="1116965" cy="620395"/>
                <wp:effectExtent l="0" t="0" r="6985" b="8255"/>
                <wp:docPr id="831157626" name="Picture 831157626"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7626" name="Picture 831157626"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2" w:type="pct"/>
          <w:tcBorders>
            <w:top w:val="nil"/>
            <w:left w:val="nil"/>
            <w:bottom w:val="single" w:sz="4" w:space="0" w:color="auto"/>
            <w:right w:val="nil"/>
          </w:tcBorders>
          <w:shd w:val="clear" w:color="auto" w:fill="005A84"/>
        </w:tcPr>
        <w:p w14:paraId="2433E7B7" w14:textId="77777777" w:rsidR="005A6DBB" w:rsidRDefault="005A6DBB">
          <w:pPr>
            <w:rPr>
              <w:sz w:val="20"/>
              <w:szCs w:val="20"/>
              <w:lang w:eastAsia="en-ZA"/>
            </w:rPr>
          </w:pPr>
        </w:p>
      </w:tc>
    </w:tr>
  </w:tbl>
  <w:p w14:paraId="058D4077" w14:textId="77777777" w:rsidR="005A6DBB" w:rsidRDefault="005A6DBB">
    <w:pPr>
      <w:pStyle w:val="Header"/>
      <w:tabs>
        <w:tab w:val="clear" w:pos="8640"/>
        <w:tab w:val="right" w:pos="8931"/>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5D85FAB7" w14:textId="77777777">
      <w:trPr>
        <w:trHeight w:val="1075"/>
        <w:jc w:val="center"/>
      </w:trPr>
      <w:tc>
        <w:tcPr>
          <w:tcW w:w="115" w:type="pct"/>
          <w:tcBorders>
            <w:top w:val="nil"/>
            <w:left w:val="nil"/>
            <w:bottom w:val="single" w:sz="4" w:space="0" w:color="auto"/>
            <w:right w:val="nil"/>
          </w:tcBorders>
          <w:shd w:val="clear" w:color="auto" w:fill="005A84"/>
        </w:tcPr>
        <w:p w14:paraId="35022EBF"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2FC81CCB"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2B05758F"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0B7BB250"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237465DB"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34C5422C" wp14:editId="0E8874E5">
                <wp:extent cx="822960" cy="457200"/>
                <wp:effectExtent l="0" t="0" r="0" b="0"/>
                <wp:docPr id="1546701866" name="Picture 1546701866"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01866" name="Picture 1546701866"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3743E47" w14:textId="77777777" w:rsidR="005A6DBB" w:rsidRDefault="005A6DBB">
          <w:pPr>
            <w:rPr>
              <w:sz w:val="20"/>
              <w:szCs w:val="20"/>
              <w:lang w:eastAsia="en-ZA"/>
            </w:rPr>
          </w:pPr>
        </w:p>
      </w:tc>
    </w:tr>
  </w:tbl>
  <w:p w14:paraId="77F01EE9" w14:textId="77777777" w:rsidR="005A6DBB" w:rsidRDefault="005A6D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5"/>
      <w:gridCol w:w="6745"/>
      <w:gridCol w:w="2017"/>
      <w:gridCol w:w="225"/>
    </w:tblGrid>
    <w:tr w:rsidR="005A6DBB" w14:paraId="721BBE04" w14:textId="77777777">
      <w:trPr>
        <w:trHeight w:val="1075"/>
        <w:jc w:val="center"/>
      </w:trPr>
      <w:tc>
        <w:tcPr>
          <w:tcW w:w="122" w:type="pct"/>
          <w:tcBorders>
            <w:top w:val="nil"/>
            <w:left w:val="nil"/>
            <w:bottom w:val="single" w:sz="4" w:space="0" w:color="auto"/>
            <w:right w:val="nil"/>
          </w:tcBorders>
          <w:shd w:val="clear" w:color="auto" w:fill="005A84"/>
        </w:tcPr>
        <w:p w14:paraId="4D0818FE" w14:textId="77777777" w:rsidR="005A6DBB" w:rsidRDefault="005A6DBB">
          <w:pPr>
            <w:spacing w:line="240" w:lineRule="auto"/>
            <w:ind w:left="-198" w:firstLine="41"/>
            <w:rPr>
              <w:sz w:val="20"/>
              <w:szCs w:val="20"/>
              <w:lang w:eastAsia="en-ZA"/>
            </w:rPr>
          </w:pPr>
        </w:p>
      </w:tc>
      <w:tc>
        <w:tcPr>
          <w:tcW w:w="3661" w:type="pct"/>
          <w:tcBorders>
            <w:top w:val="nil"/>
            <w:left w:val="nil"/>
            <w:bottom w:val="single" w:sz="4" w:space="0" w:color="auto"/>
            <w:right w:val="nil"/>
          </w:tcBorders>
          <w:vAlign w:val="center"/>
        </w:tcPr>
        <w:p w14:paraId="4AB3B1FF"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6AC068CA"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7280EF76"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1095" w:type="pct"/>
          <w:tcBorders>
            <w:top w:val="nil"/>
            <w:left w:val="nil"/>
            <w:bottom w:val="single" w:sz="4" w:space="0" w:color="auto"/>
            <w:right w:val="nil"/>
          </w:tcBorders>
          <w:vAlign w:val="center"/>
        </w:tcPr>
        <w:p w14:paraId="576F7927"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23F91FAE" wp14:editId="27410950">
                <wp:extent cx="1116965" cy="620395"/>
                <wp:effectExtent l="0" t="0" r="6985" b="8255"/>
                <wp:docPr id="1508319363" name="Picture 1508319363"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63" name="Picture 1508319363"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2" w:type="pct"/>
          <w:tcBorders>
            <w:top w:val="nil"/>
            <w:left w:val="nil"/>
            <w:bottom w:val="single" w:sz="4" w:space="0" w:color="auto"/>
            <w:right w:val="nil"/>
          </w:tcBorders>
          <w:shd w:val="clear" w:color="auto" w:fill="005A84"/>
        </w:tcPr>
        <w:p w14:paraId="6A87AD99" w14:textId="77777777" w:rsidR="005A6DBB" w:rsidRDefault="005A6DBB">
          <w:pPr>
            <w:rPr>
              <w:sz w:val="20"/>
              <w:szCs w:val="20"/>
              <w:lang w:eastAsia="en-ZA"/>
            </w:rPr>
          </w:pPr>
        </w:p>
      </w:tc>
    </w:tr>
  </w:tbl>
  <w:p w14:paraId="2D558DD3" w14:textId="77777777" w:rsidR="005A6DBB" w:rsidRDefault="005A6DBB">
    <w:pPr>
      <w:pStyle w:val="Header"/>
      <w:tabs>
        <w:tab w:val="clear" w:pos="8640"/>
        <w:tab w:val="right" w:pos="8931"/>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0FE0D55D" w14:textId="77777777">
      <w:trPr>
        <w:trHeight w:val="1075"/>
        <w:jc w:val="center"/>
      </w:trPr>
      <w:tc>
        <w:tcPr>
          <w:tcW w:w="115" w:type="pct"/>
          <w:tcBorders>
            <w:top w:val="nil"/>
            <w:left w:val="nil"/>
            <w:bottom w:val="single" w:sz="4" w:space="0" w:color="auto"/>
            <w:right w:val="nil"/>
          </w:tcBorders>
          <w:shd w:val="clear" w:color="auto" w:fill="005A84"/>
        </w:tcPr>
        <w:p w14:paraId="09F780BD"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77127B58"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1B12D103"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3BE92540"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7A46D4D3"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050F1743" wp14:editId="2EFC069C">
                <wp:extent cx="822960" cy="457200"/>
                <wp:effectExtent l="0" t="0" r="0" b="0"/>
                <wp:docPr id="1508319365" name="Picture 1508319365"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65" name="Picture 1508319365"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0A5F94EC" w14:textId="77777777" w:rsidR="005A6DBB" w:rsidRDefault="005A6DBB">
          <w:pPr>
            <w:rPr>
              <w:sz w:val="20"/>
              <w:szCs w:val="20"/>
              <w:lang w:eastAsia="en-ZA"/>
            </w:rPr>
          </w:pPr>
        </w:p>
      </w:tc>
    </w:tr>
  </w:tbl>
  <w:p w14:paraId="3F660A08" w14:textId="77777777" w:rsidR="005A6DBB" w:rsidRDefault="005A6D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782"/>
      <w:gridCol w:w="1986"/>
      <w:gridCol w:w="222"/>
    </w:tblGrid>
    <w:tr w:rsidR="005A6DBB" w14:paraId="3A4C3AD1" w14:textId="77777777">
      <w:trPr>
        <w:trHeight w:val="1075"/>
        <w:jc w:val="center"/>
      </w:trPr>
      <w:tc>
        <w:tcPr>
          <w:tcW w:w="124" w:type="pct"/>
          <w:tcBorders>
            <w:top w:val="nil"/>
            <w:left w:val="nil"/>
            <w:bottom w:val="single" w:sz="4" w:space="0" w:color="auto"/>
            <w:right w:val="nil"/>
          </w:tcBorders>
          <w:shd w:val="clear" w:color="auto" w:fill="005A84"/>
        </w:tcPr>
        <w:p w14:paraId="22539154" w14:textId="77777777" w:rsidR="005A6DBB" w:rsidRDefault="005A6DBB">
          <w:pPr>
            <w:spacing w:line="240" w:lineRule="auto"/>
            <w:ind w:left="-198" w:firstLine="41"/>
            <w:rPr>
              <w:sz w:val="20"/>
              <w:szCs w:val="20"/>
              <w:lang w:eastAsia="en-ZA"/>
            </w:rPr>
          </w:pPr>
        </w:p>
      </w:tc>
      <w:tc>
        <w:tcPr>
          <w:tcW w:w="4065" w:type="pct"/>
          <w:tcBorders>
            <w:top w:val="nil"/>
            <w:left w:val="nil"/>
            <w:bottom w:val="single" w:sz="4" w:space="0" w:color="auto"/>
            <w:right w:val="nil"/>
          </w:tcBorders>
          <w:vAlign w:val="center"/>
        </w:tcPr>
        <w:p w14:paraId="7AFAF9FC"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09553AC7"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25BC8C15"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687" w:type="pct"/>
          <w:tcBorders>
            <w:top w:val="nil"/>
            <w:left w:val="nil"/>
            <w:bottom w:val="single" w:sz="4" w:space="0" w:color="auto"/>
            <w:right w:val="nil"/>
          </w:tcBorders>
          <w:vAlign w:val="center"/>
        </w:tcPr>
        <w:p w14:paraId="4D56C66A"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15965B07" wp14:editId="442ED28A">
                <wp:extent cx="1116965" cy="620395"/>
                <wp:effectExtent l="0" t="0" r="6985" b="8255"/>
                <wp:docPr id="1508319367" name="Picture 1508319367"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67" name="Picture 1508319367"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1506A09C" w14:textId="77777777" w:rsidR="005A6DBB" w:rsidRDefault="005A6DBB">
          <w:pPr>
            <w:rPr>
              <w:sz w:val="20"/>
              <w:szCs w:val="20"/>
              <w:lang w:eastAsia="en-ZA"/>
            </w:rPr>
          </w:pPr>
        </w:p>
      </w:tc>
    </w:tr>
  </w:tbl>
  <w:p w14:paraId="19793BF8" w14:textId="77777777" w:rsidR="005A6DBB" w:rsidRDefault="005A6DBB">
    <w:pPr>
      <w:pStyle w:val="Header"/>
      <w:tabs>
        <w:tab w:val="clear" w:pos="8640"/>
        <w:tab w:val="right" w:pos="8931"/>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5042B60D" w14:textId="77777777">
      <w:trPr>
        <w:trHeight w:val="1075"/>
        <w:jc w:val="center"/>
      </w:trPr>
      <w:tc>
        <w:tcPr>
          <w:tcW w:w="115" w:type="pct"/>
          <w:tcBorders>
            <w:top w:val="nil"/>
            <w:left w:val="nil"/>
            <w:bottom w:val="single" w:sz="4" w:space="0" w:color="auto"/>
            <w:right w:val="nil"/>
          </w:tcBorders>
          <w:shd w:val="clear" w:color="auto" w:fill="005A84"/>
        </w:tcPr>
        <w:p w14:paraId="744B63FC"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0B47B79B"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595B6EED"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23BB6E17"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687B22B9"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534FDE69" wp14:editId="3A1439A9">
                <wp:extent cx="822960" cy="457200"/>
                <wp:effectExtent l="0" t="0" r="0" b="0"/>
                <wp:docPr id="1508319370" name="Picture 1508319370"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70" name="Picture 1508319370"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56F00027" w14:textId="77777777" w:rsidR="005A6DBB" w:rsidRDefault="005A6DBB">
          <w:pPr>
            <w:rPr>
              <w:sz w:val="20"/>
              <w:szCs w:val="20"/>
              <w:lang w:eastAsia="en-ZA"/>
            </w:rPr>
          </w:pPr>
        </w:p>
      </w:tc>
    </w:tr>
  </w:tbl>
  <w:p w14:paraId="2A4F016B" w14:textId="77777777" w:rsidR="005A6DBB" w:rsidRDefault="005A6DB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5A6DBB" w14:paraId="30EF324A" w14:textId="77777777">
      <w:trPr>
        <w:trHeight w:val="1075"/>
        <w:jc w:val="center"/>
      </w:trPr>
      <w:tc>
        <w:tcPr>
          <w:tcW w:w="115" w:type="pct"/>
          <w:tcBorders>
            <w:top w:val="nil"/>
            <w:left w:val="nil"/>
            <w:bottom w:val="single" w:sz="4" w:space="0" w:color="auto"/>
            <w:right w:val="nil"/>
          </w:tcBorders>
          <w:shd w:val="clear" w:color="auto" w:fill="005A84"/>
        </w:tcPr>
        <w:p w14:paraId="03DAA449"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75DD446E"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44972DD7"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76C670F0"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35E78D3E"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34F4E83B" wp14:editId="327DDF20">
                <wp:extent cx="822960" cy="457200"/>
                <wp:effectExtent l="0" t="0" r="0" b="0"/>
                <wp:docPr id="2116970212" name="Picture 211697021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70212" name="Picture 2116970212"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0F22464A" w14:textId="77777777" w:rsidR="005A6DBB" w:rsidRDefault="005A6DBB">
          <w:pPr>
            <w:rPr>
              <w:sz w:val="20"/>
              <w:szCs w:val="20"/>
              <w:lang w:eastAsia="en-ZA"/>
            </w:rPr>
          </w:pPr>
        </w:p>
      </w:tc>
    </w:tr>
  </w:tbl>
  <w:p w14:paraId="63691D91" w14:textId="77777777" w:rsidR="005A6DBB" w:rsidRDefault="005A6DB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7B540206" w14:textId="77777777">
      <w:trPr>
        <w:trHeight w:val="1075"/>
        <w:jc w:val="center"/>
      </w:trPr>
      <w:tc>
        <w:tcPr>
          <w:tcW w:w="115" w:type="pct"/>
          <w:tcBorders>
            <w:top w:val="nil"/>
            <w:left w:val="nil"/>
            <w:bottom w:val="single" w:sz="4" w:space="0" w:color="auto"/>
            <w:right w:val="nil"/>
          </w:tcBorders>
          <w:shd w:val="clear" w:color="auto" w:fill="005A84"/>
        </w:tcPr>
        <w:p w14:paraId="23945A0E"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0D4FA06F"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42CA7187"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6B723284"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1708D011"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21E5913D" wp14:editId="7F0196FD">
                <wp:extent cx="822960" cy="457200"/>
                <wp:effectExtent l="0" t="0" r="0" b="0"/>
                <wp:docPr id="913314613" name="Picture 913314613"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14613" name="Picture 913314613"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822D50C" w14:textId="77777777" w:rsidR="005A6DBB" w:rsidRDefault="005A6DBB">
          <w:pPr>
            <w:rPr>
              <w:sz w:val="20"/>
              <w:szCs w:val="20"/>
              <w:lang w:eastAsia="en-ZA"/>
            </w:rPr>
          </w:pPr>
        </w:p>
      </w:tc>
    </w:tr>
  </w:tbl>
  <w:p w14:paraId="60DEAA1F" w14:textId="77777777" w:rsidR="005A6DBB" w:rsidRDefault="005A6DB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211798A8" w14:textId="77777777">
      <w:trPr>
        <w:trHeight w:val="1075"/>
        <w:jc w:val="center"/>
      </w:trPr>
      <w:tc>
        <w:tcPr>
          <w:tcW w:w="124" w:type="pct"/>
          <w:tcBorders>
            <w:top w:val="nil"/>
            <w:left w:val="nil"/>
            <w:bottom w:val="single" w:sz="4" w:space="0" w:color="auto"/>
            <w:right w:val="nil"/>
          </w:tcBorders>
          <w:shd w:val="clear" w:color="auto" w:fill="005A84"/>
        </w:tcPr>
        <w:p w14:paraId="503F6837" w14:textId="77777777" w:rsidR="005A6DBB" w:rsidRDefault="005A6DBB">
          <w:pPr>
            <w:spacing w:line="240" w:lineRule="auto"/>
            <w:ind w:left="-198" w:firstLine="41"/>
            <w:rPr>
              <w:sz w:val="20"/>
              <w:szCs w:val="20"/>
              <w:lang w:eastAsia="en-ZA"/>
            </w:rPr>
          </w:pPr>
        </w:p>
      </w:tc>
      <w:tc>
        <w:tcPr>
          <w:tcW w:w="4065" w:type="pct"/>
          <w:tcBorders>
            <w:top w:val="nil"/>
            <w:left w:val="nil"/>
            <w:bottom w:val="single" w:sz="4" w:space="0" w:color="auto"/>
            <w:right w:val="nil"/>
          </w:tcBorders>
          <w:vAlign w:val="center"/>
        </w:tcPr>
        <w:p w14:paraId="2B8DF5A0"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0014C755"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382FB0F1"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687" w:type="pct"/>
          <w:tcBorders>
            <w:top w:val="nil"/>
            <w:left w:val="nil"/>
            <w:bottom w:val="single" w:sz="4" w:space="0" w:color="auto"/>
            <w:right w:val="nil"/>
          </w:tcBorders>
          <w:vAlign w:val="center"/>
        </w:tcPr>
        <w:p w14:paraId="18A3D5B6"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7B0A7333" wp14:editId="5AF25F24">
                <wp:extent cx="1116965" cy="620395"/>
                <wp:effectExtent l="0" t="0" r="6985" b="8255"/>
                <wp:docPr id="42" name="Picture 4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604A6528" w14:textId="77777777" w:rsidR="005A6DBB" w:rsidRDefault="005A6DBB">
          <w:pPr>
            <w:rPr>
              <w:sz w:val="20"/>
              <w:szCs w:val="20"/>
              <w:lang w:eastAsia="en-ZA"/>
            </w:rPr>
          </w:pPr>
        </w:p>
      </w:tc>
    </w:tr>
  </w:tbl>
  <w:p w14:paraId="214838CE" w14:textId="77777777" w:rsidR="005A6DBB" w:rsidRDefault="005A6DBB">
    <w:pPr>
      <w:pStyle w:val="Header"/>
      <w:tabs>
        <w:tab w:val="clear" w:pos="8640"/>
        <w:tab w:val="right" w:pos="8931"/>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5A6DBB" w14:paraId="77A1B159" w14:textId="77777777">
      <w:trPr>
        <w:trHeight w:val="1075"/>
        <w:jc w:val="center"/>
      </w:trPr>
      <w:tc>
        <w:tcPr>
          <w:tcW w:w="115" w:type="pct"/>
          <w:tcBorders>
            <w:top w:val="nil"/>
            <w:left w:val="nil"/>
            <w:bottom w:val="single" w:sz="4" w:space="0" w:color="auto"/>
            <w:right w:val="nil"/>
          </w:tcBorders>
          <w:shd w:val="clear" w:color="auto" w:fill="005A84"/>
        </w:tcPr>
        <w:p w14:paraId="26DB5DF9"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48B0E330"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45087816"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70F3C10D"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5242007D"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1F38CC69" wp14:editId="610693F0">
                <wp:extent cx="822960" cy="457200"/>
                <wp:effectExtent l="0" t="0" r="0" b="0"/>
                <wp:docPr id="19" name="Picture 19"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919A37C" w14:textId="77777777" w:rsidR="005A6DBB" w:rsidRDefault="005A6DBB">
          <w:pPr>
            <w:rPr>
              <w:sz w:val="20"/>
              <w:szCs w:val="20"/>
              <w:lang w:eastAsia="en-ZA"/>
            </w:rPr>
          </w:pPr>
        </w:p>
      </w:tc>
    </w:tr>
  </w:tbl>
  <w:p w14:paraId="111D935A" w14:textId="77777777" w:rsidR="005A6DBB" w:rsidRDefault="005A6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5CF39376" w14:textId="77777777">
      <w:trPr>
        <w:trHeight w:val="1075"/>
        <w:jc w:val="center"/>
      </w:trPr>
      <w:tc>
        <w:tcPr>
          <w:tcW w:w="124" w:type="pct"/>
          <w:tcBorders>
            <w:top w:val="nil"/>
            <w:left w:val="nil"/>
            <w:bottom w:val="single" w:sz="4" w:space="0" w:color="auto"/>
            <w:right w:val="nil"/>
          </w:tcBorders>
          <w:shd w:val="clear" w:color="auto" w:fill="005A84"/>
        </w:tcPr>
        <w:p w14:paraId="51779455" w14:textId="77777777" w:rsidR="005A6DBB" w:rsidRDefault="005A6DBB">
          <w:pPr>
            <w:spacing w:line="240" w:lineRule="auto"/>
            <w:ind w:left="-198" w:firstLine="41"/>
            <w:rPr>
              <w:sz w:val="20"/>
              <w:szCs w:val="20"/>
              <w:lang w:eastAsia="en-ZA"/>
            </w:rPr>
          </w:pPr>
          <w:bookmarkStart w:id="15" w:name="_Hlk7014543"/>
        </w:p>
      </w:tc>
      <w:tc>
        <w:tcPr>
          <w:tcW w:w="4065" w:type="pct"/>
          <w:tcBorders>
            <w:top w:val="nil"/>
            <w:left w:val="nil"/>
            <w:bottom w:val="single" w:sz="4" w:space="0" w:color="auto"/>
            <w:right w:val="nil"/>
          </w:tcBorders>
          <w:vAlign w:val="center"/>
        </w:tcPr>
        <w:p w14:paraId="73826EB9"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6DDE93FC"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0EE0103A"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687" w:type="pct"/>
          <w:tcBorders>
            <w:top w:val="nil"/>
            <w:left w:val="nil"/>
            <w:bottom w:val="single" w:sz="4" w:space="0" w:color="auto"/>
            <w:right w:val="nil"/>
          </w:tcBorders>
          <w:vAlign w:val="center"/>
        </w:tcPr>
        <w:p w14:paraId="44DB4747"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0F80F53A" wp14:editId="614C5968">
                <wp:extent cx="1116965" cy="620395"/>
                <wp:effectExtent l="0" t="0" r="6985" b="8255"/>
                <wp:docPr id="1508319391" name="Picture 1508319391"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91" name="Picture 1508319391"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2B4A5034" w14:textId="77777777" w:rsidR="005A6DBB" w:rsidRDefault="005A6DBB">
          <w:pPr>
            <w:rPr>
              <w:sz w:val="20"/>
              <w:szCs w:val="20"/>
              <w:lang w:eastAsia="en-ZA"/>
            </w:rPr>
          </w:pPr>
        </w:p>
      </w:tc>
    </w:tr>
    <w:bookmarkEnd w:id="15"/>
  </w:tbl>
  <w:p w14:paraId="076CF508" w14:textId="77777777" w:rsidR="005A6DBB" w:rsidRDefault="005A6DBB">
    <w:pPr>
      <w:pStyle w:val="Header"/>
      <w:tabs>
        <w:tab w:val="clear" w:pos="8640"/>
        <w:tab w:val="right" w:pos="8931"/>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4997BC6E" w14:textId="77777777">
      <w:trPr>
        <w:trHeight w:val="1075"/>
        <w:jc w:val="center"/>
      </w:trPr>
      <w:tc>
        <w:tcPr>
          <w:tcW w:w="124" w:type="pct"/>
          <w:tcBorders>
            <w:top w:val="nil"/>
            <w:left w:val="nil"/>
            <w:bottom w:val="single" w:sz="4" w:space="0" w:color="auto"/>
            <w:right w:val="nil"/>
          </w:tcBorders>
          <w:shd w:val="clear" w:color="auto" w:fill="005A84"/>
        </w:tcPr>
        <w:p w14:paraId="461F6C18" w14:textId="77777777" w:rsidR="005A6DBB" w:rsidRDefault="005A6DBB">
          <w:pPr>
            <w:spacing w:line="240" w:lineRule="auto"/>
            <w:ind w:left="-198" w:firstLine="41"/>
            <w:rPr>
              <w:sz w:val="20"/>
              <w:szCs w:val="20"/>
              <w:lang w:eastAsia="en-ZA"/>
            </w:rPr>
          </w:pPr>
        </w:p>
      </w:tc>
      <w:tc>
        <w:tcPr>
          <w:tcW w:w="4065" w:type="pct"/>
          <w:tcBorders>
            <w:top w:val="nil"/>
            <w:left w:val="nil"/>
            <w:bottom w:val="single" w:sz="4" w:space="0" w:color="auto"/>
            <w:right w:val="nil"/>
          </w:tcBorders>
          <w:vAlign w:val="center"/>
        </w:tcPr>
        <w:p w14:paraId="3E82A5B7"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351C44E2"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188B5F0E"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687" w:type="pct"/>
          <w:tcBorders>
            <w:top w:val="nil"/>
            <w:left w:val="nil"/>
            <w:bottom w:val="single" w:sz="4" w:space="0" w:color="auto"/>
            <w:right w:val="nil"/>
          </w:tcBorders>
          <w:vAlign w:val="center"/>
        </w:tcPr>
        <w:p w14:paraId="35CA6478"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54663614" wp14:editId="70357993">
                <wp:extent cx="1116965" cy="620395"/>
                <wp:effectExtent l="0" t="0" r="6985" b="8255"/>
                <wp:docPr id="100369222" name="Picture 10036922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222" name="Picture 100369222"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4" w:type="pct"/>
          <w:tcBorders>
            <w:top w:val="nil"/>
            <w:left w:val="nil"/>
            <w:bottom w:val="single" w:sz="4" w:space="0" w:color="auto"/>
            <w:right w:val="nil"/>
          </w:tcBorders>
          <w:shd w:val="clear" w:color="auto" w:fill="005A84"/>
        </w:tcPr>
        <w:p w14:paraId="307D14E7" w14:textId="77777777" w:rsidR="005A6DBB" w:rsidRDefault="005A6DBB">
          <w:pPr>
            <w:rPr>
              <w:sz w:val="20"/>
              <w:szCs w:val="20"/>
              <w:lang w:eastAsia="en-ZA"/>
            </w:rPr>
          </w:pPr>
        </w:p>
      </w:tc>
    </w:tr>
  </w:tbl>
  <w:p w14:paraId="5D24B1FC" w14:textId="77777777" w:rsidR="005A6DBB" w:rsidRDefault="005A6DBB">
    <w:pPr>
      <w:pStyle w:val="Header"/>
      <w:tabs>
        <w:tab w:val="clear" w:pos="8640"/>
        <w:tab w:val="right" w:pos="8931"/>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5A6DBB" w14:paraId="527CAD46" w14:textId="77777777">
      <w:trPr>
        <w:trHeight w:val="1075"/>
        <w:jc w:val="center"/>
      </w:trPr>
      <w:tc>
        <w:tcPr>
          <w:tcW w:w="115" w:type="pct"/>
          <w:tcBorders>
            <w:top w:val="nil"/>
            <w:left w:val="nil"/>
            <w:bottom w:val="single" w:sz="4" w:space="0" w:color="auto"/>
            <w:right w:val="nil"/>
          </w:tcBorders>
          <w:shd w:val="clear" w:color="auto" w:fill="005A84"/>
        </w:tcPr>
        <w:p w14:paraId="3CF6ADEC"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5E7B0136"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2FEA6396"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4DFB4BB5"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3C942CE8"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4E85F436" wp14:editId="03F6A68B">
                <wp:extent cx="822960" cy="457200"/>
                <wp:effectExtent l="0" t="0" r="0" b="0"/>
                <wp:docPr id="32" name="Picture 32"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1B8B8511" w14:textId="77777777" w:rsidR="005A6DBB" w:rsidRDefault="005A6DBB">
          <w:pPr>
            <w:rPr>
              <w:sz w:val="20"/>
              <w:szCs w:val="20"/>
              <w:lang w:eastAsia="en-ZA"/>
            </w:rPr>
          </w:pPr>
        </w:p>
      </w:tc>
    </w:tr>
  </w:tbl>
  <w:p w14:paraId="141036F1" w14:textId="77777777" w:rsidR="005A6DBB" w:rsidRDefault="005A6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03BD34B8" w14:textId="77777777">
      <w:trPr>
        <w:trHeight w:val="1075"/>
        <w:jc w:val="center"/>
      </w:trPr>
      <w:tc>
        <w:tcPr>
          <w:tcW w:w="115" w:type="pct"/>
          <w:tcBorders>
            <w:top w:val="nil"/>
            <w:left w:val="nil"/>
            <w:bottom w:val="single" w:sz="4" w:space="0" w:color="auto"/>
            <w:right w:val="nil"/>
          </w:tcBorders>
          <w:shd w:val="clear" w:color="auto" w:fill="005A84"/>
        </w:tcPr>
        <w:p w14:paraId="65F48819"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71161500"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77308CBE"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1C945D05"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02C1565F"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490ED27B" wp14:editId="58ADA182">
                <wp:extent cx="822960" cy="457200"/>
                <wp:effectExtent l="0" t="0" r="0" b="0"/>
                <wp:docPr id="1508319395" name="Picture 1508319395"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395" name="Picture 1508319395"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4E1B2DE9" w14:textId="77777777" w:rsidR="005A6DBB" w:rsidRDefault="005A6DBB">
          <w:pPr>
            <w:rPr>
              <w:sz w:val="20"/>
              <w:szCs w:val="20"/>
              <w:lang w:eastAsia="en-ZA"/>
            </w:rPr>
          </w:pPr>
        </w:p>
      </w:tc>
    </w:tr>
  </w:tbl>
  <w:p w14:paraId="0C9C1EA2" w14:textId="77777777" w:rsidR="005A6DBB" w:rsidRDefault="005A6DBB">
    <w:pPr>
      <w:pStyle w:val="Heade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198A8E94" w14:textId="77777777">
      <w:trPr>
        <w:trHeight w:val="1075"/>
        <w:jc w:val="center"/>
      </w:trPr>
      <w:tc>
        <w:tcPr>
          <w:tcW w:w="122" w:type="pct"/>
          <w:tcBorders>
            <w:top w:val="nil"/>
            <w:left w:val="nil"/>
            <w:bottom w:val="single" w:sz="4" w:space="0" w:color="auto"/>
            <w:right w:val="nil"/>
          </w:tcBorders>
          <w:shd w:val="clear" w:color="auto" w:fill="005A84"/>
        </w:tcPr>
        <w:p w14:paraId="7154A10D" w14:textId="77777777" w:rsidR="005A6DBB" w:rsidRDefault="005A6DBB">
          <w:pPr>
            <w:spacing w:line="240" w:lineRule="auto"/>
            <w:ind w:left="-198" w:firstLine="41"/>
            <w:rPr>
              <w:sz w:val="20"/>
              <w:szCs w:val="20"/>
              <w:lang w:eastAsia="en-ZA"/>
            </w:rPr>
          </w:pPr>
        </w:p>
      </w:tc>
      <w:tc>
        <w:tcPr>
          <w:tcW w:w="3661" w:type="pct"/>
          <w:tcBorders>
            <w:top w:val="nil"/>
            <w:left w:val="nil"/>
            <w:bottom w:val="single" w:sz="4" w:space="0" w:color="auto"/>
            <w:right w:val="nil"/>
          </w:tcBorders>
          <w:vAlign w:val="center"/>
        </w:tcPr>
        <w:p w14:paraId="56B36044"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3A80E3F3"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7DB5B38C"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1095" w:type="pct"/>
          <w:tcBorders>
            <w:top w:val="nil"/>
            <w:left w:val="nil"/>
            <w:bottom w:val="single" w:sz="4" w:space="0" w:color="auto"/>
            <w:right w:val="nil"/>
          </w:tcBorders>
          <w:vAlign w:val="center"/>
        </w:tcPr>
        <w:p w14:paraId="3EB5ECA2"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1A9F485A" wp14:editId="6BA75638">
                <wp:extent cx="1116965" cy="620395"/>
                <wp:effectExtent l="0" t="0" r="6985" b="8255"/>
                <wp:docPr id="1508319401" name="Picture 1508319401"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401" name="Picture 1508319401"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2" w:type="pct"/>
          <w:tcBorders>
            <w:top w:val="nil"/>
            <w:left w:val="nil"/>
            <w:bottom w:val="single" w:sz="4" w:space="0" w:color="auto"/>
            <w:right w:val="nil"/>
          </w:tcBorders>
          <w:shd w:val="clear" w:color="auto" w:fill="005A84"/>
        </w:tcPr>
        <w:p w14:paraId="6443D68B" w14:textId="77777777" w:rsidR="005A6DBB" w:rsidRDefault="005A6DBB">
          <w:pPr>
            <w:rPr>
              <w:sz w:val="20"/>
              <w:szCs w:val="20"/>
              <w:lang w:eastAsia="en-ZA"/>
            </w:rPr>
          </w:pPr>
        </w:p>
      </w:tc>
    </w:tr>
  </w:tbl>
  <w:p w14:paraId="738C95CF" w14:textId="77777777" w:rsidR="005A6DBB" w:rsidRDefault="005A6DBB">
    <w:pPr>
      <w:pStyle w:val="Header"/>
      <w:tabs>
        <w:tab w:val="clear" w:pos="8640"/>
        <w:tab w:val="right" w:pos="8931"/>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5A6DBB" w14:paraId="4AD53CEB" w14:textId="77777777">
      <w:trPr>
        <w:trHeight w:val="1075"/>
        <w:jc w:val="center"/>
      </w:trPr>
      <w:tc>
        <w:tcPr>
          <w:tcW w:w="115" w:type="pct"/>
          <w:tcBorders>
            <w:top w:val="nil"/>
            <w:left w:val="nil"/>
            <w:bottom w:val="single" w:sz="4" w:space="0" w:color="auto"/>
            <w:right w:val="nil"/>
          </w:tcBorders>
          <w:shd w:val="clear" w:color="auto" w:fill="005A84"/>
        </w:tcPr>
        <w:p w14:paraId="7EDBF912"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57EF1801"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0A78D0EF"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57F409E2"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482C119F"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0DA3A506" wp14:editId="59FE8243">
                <wp:extent cx="822960" cy="457200"/>
                <wp:effectExtent l="0" t="0" r="0" b="0"/>
                <wp:docPr id="1508319403" name="Picture 1508319403"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19403" name="Picture 1508319403"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5DACD787" w14:textId="77777777" w:rsidR="005A6DBB" w:rsidRDefault="005A6DBB">
          <w:pPr>
            <w:rPr>
              <w:sz w:val="20"/>
              <w:szCs w:val="20"/>
              <w:lang w:eastAsia="en-ZA"/>
            </w:rPr>
          </w:pPr>
        </w:p>
      </w:tc>
    </w:tr>
  </w:tbl>
  <w:p w14:paraId="718EEC45" w14:textId="77777777" w:rsidR="005A6DBB" w:rsidRDefault="005A6D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39DAC4F2" w14:textId="77777777">
      <w:trPr>
        <w:trHeight w:val="1075"/>
        <w:jc w:val="center"/>
      </w:trPr>
      <w:tc>
        <w:tcPr>
          <w:tcW w:w="122" w:type="pct"/>
          <w:tcBorders>
            <w:top w:val="nil"/>
            <w:left w:val="nil"/>
            <w:bottom w:val="single" w:sz="4" w:space="0" w:color="auto"/>
            <w:right w:val="nil"/>
          </w:tcBorders>
          <w:shd w:val="clear" w:color="auto" w:fill="005A84"/>
        </w:tcPr>
        <w:p w14:paraId="12C21FA0" w14:textId="77777777" w:rsidR="005A6DBB" w:rsidRDefault="005A6DBB">
          <w:pPr>
            <w:spacing w:line="240" w:lineRule="auto"/>
            <w:ind w:left="-198" w:firstLine="41"/>
            <w:rPr>
              <w:sz w:val="20"/>
              <w:szCs w:val="20"/>
              <w:lang w:eastAsia="en-ZA"/>
            </w:rPr>
          </w:pPr>
        </w:p>
      </w:tc>
      <w:tc>
        <w:tcPr>
          <w:tcW w:w="3661" w:type="pct"/>
          <w:tcBorders>
            <w:top w:val="nil"/>
            <w:left w:val="nil"/>
            <w:bottom w:val="single" w:sz="4" w:space="0" w:color="auto"/>
            <w:right w:val="nil"/>
          </w:tcBorders>
          <w:vAlign w:val="center"/>
        </w:tcPr>
        <w:p w14:paraId="3C440788"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18E1AE0C"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24DEBA55"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1095" w:type="pct"/>
          <w:tcBorders>
            <w:top w:val="nil"/>
            <w:left w:val="nil"/>
            <w:bottom w:val="single" w:sz="4" w:space="0" w:color="auto"/>
            <w:right w:val="nil"/>
          </w:tcBorders>
          <w:vAlign w:val="center"/>
        </w:tcPr>
        <w:p w14:paraId="0F9F1CA8"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13D82F31" wp14:editId="67971F06">
                <wp:extent cx="1116965" cy="620395"/>
                <wp:effectExtent l="0" t="0" r="6985" b="8255"/>
                <wp:docPr id="735373106" name="Picture 735373106"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73106" name="Picture 735373106"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2" w:type="pct"/>
          <w:tcBorders>
            <w:top w:val="nil"/>
            <w:left w:val="nil"/>
            <w:bottom w:val="single" w:sz="4" w:space="0" w:color="auto"/>
            <w:right w:val="nil"/>
          </w:tcBorders>
          <w:shd w:val="clear" w:color="auto" w:fill="005A84"/>
        </w:tcPr>
        <w:p w14:paraId="661B2156" w14:textId="77777777" w:rsidR="005A6DBB" w:rsidRDefault="005A6DBB">
          <w:pPr>
            <w:rPr>
              <w:sz w:val="20"/>
              <w:szCs w:val="20"/>
              <w:lang w:eastAsia="en-ZA"/>
            </w:rPr>
          </w:pPr>
        </w:p>
      </w:tc>
    </w:tr>
  </w:tbl>
  <w:p w14:paraId="18C2568D" w14:textId="77777777" w:rsidR="005A6DBB" w:rsidRDefault="005A6DBB">
    <w:pPr>
      <w:pStyle w:val="Header"/>
      <w:tabs>
        <w:tab w:val="clear" w:pos="8640"/>
        <w:tab w:val="right" w:pos="8931"/>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7256"/>
      <w:gridCol w:w="1512"/>
      <w:gridCol w:w="222"/>
    </w:tblGrid>
    <w:tr w:rsidR="005A6DBB" w14:paraId="6924F9F5" w14:textId="77777777">
      <w:trPr>
        <w:trHeight w:val="1075"/>
        <w:jc w:val="center"/>
      </w:trPr>
      <w:tc>
        <w:tcPr>
          <w:tcW w:w="115" w:type="pct"/>
          <w:tcBorders>
            <w:top w:val="nil"/>
            <w:left w:val="nil"/>
            <w:bottom w:val="single" w:sz="4" w:space="0" w:color="auto"/>
            <w:right w:val="nil"/>
          </w:tcBorders>
          <w:shd w:val="clear" w:color="auto" w:fill="005A84"/>
        </w:tcPr>
        <w:p w14:paraId="40FCB37D"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397E8ADE"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46A232ED"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5788847D"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2B4F99CF"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2B8E1A2C" wp14:editId="058EE088">
                <wp:extent cx="822960" cy="457200"/>
                <wp:effectExtent l="0" t="0" r="0" b="0"/>
                <wp:docPr id="1555058760" name="Picture 1555058760"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58760" name="Picture 1555058760"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27CC7158" w14:textId="77777777" w:rsidR="005A6DBB" w:rsidRDefault="005A6DBB">
          <w:pPr>
            <w:rPr>
              <w:sz w:val="20"/>
              <w:szCs w:val="20"/>
              <w:lang w:eastAsia="en-ZA"/>
            </w:rPr>
          </w:pPr>
        </w:p>
      </w:tc>
    </w:tr>
  </w:tbl>
  <w:p w14:paraId="4A9626A9" w14:textId="77777777" w:rsidR="005A6DBB" w:rsidRDefault="005A6D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222"/>
      <w:gridCol w:w="6641"/>
      <w:gridCol w:w="1986"/>
      <w:gridCol w:w="222"/>
    </w:tblGrid>
    <w:tr w:rsidR="005A6DBB" w14:paraId="35E7B8D3" w14:textId="77777777">
      <w:trPr>
        <w:trHeight w:val="1075"/>
        <w:jc w:val="center"/>
      </w:trPr>
      <w:tc>
        <w:tcPr>
          <w:tcW w:w="122" w:type="pct"/>
          <w:tcBorders>
            <w:top w:val="nil"/>
            <w:left w:val="nil"/>
            <w:bottom w:val="single" w:sz="4" w:space="0" w:color="auto"/>
            <w:right w:val="nil"/>
          </w:tcBorders>
          <w:shd w:val="clear" w:color="auto" w:fill="005A84"/>
        </w:tcPr>
        <w:p w14:paraId="539DB501" w14:textId="77777777" w:rsidR="005A6DBB" w:rsidRDefault="005A6DBB">
          <w:pPr>
            <w:spacing w:line="240" w:lineRule="auto"/>
            <w:ind w:left="-198" w:firstLine="41"/>
            <w:rPr>
              <w:sz w:val="20"/>
              <w:szCs w:val="20"/>
              <w:lang w:eastAsia="en-ZA"/>
            </w:rPr>
          </w:pPr>
        </w:p>
      </w:tc>
      <w:tc>
        <w:tcPr>
          <w:tcW w:w="3661" w:type="pct"/>
          <w:tcBorders>
            <w:top w:val="nil"/>
            <w:left w:val="nil"/>
            <w:bottom w:val="single" w:sz="4" w:space="0" w:color="auto"/>
            <w:right w:val="nil"/>
          </w:tcBorders>
          <w:vAlign w:val="center"/>
        </w:tcPr>
        <w:p w14:paraId="6435DB0D"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01216CF3"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7A5D56FA"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1095" w:type="pct"/>
          <w:tcBorders>
            <w:top w:val="nil"/>
            <w:left w:val="nil"/>
            <w:bottom w:val="single" w:sz="4" w:space="0" w:color="auto"/>
            <w:right w:val="nil"/>
          </w:tcBorders>
          <w:vAlign w:val="center"/>
        </w:tcPr>
        <w:p w14:paraId="69DEB792"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55486D03" wp14:editId="568B015A">
                <wp:extent cx="1116965" cy="620395"/>
                <wp:effectExtent l="0" t="0" r="6985" b="8255"/>
                <wp:docPr id="328746453" name="Picture 328746453"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46453" name="Picture 328746453"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136710" cy="631505"/>
                        </a:xfrm>
                        <a:prstGeom prst="rect">
                          <a:avLst/>
                        </a:prstGeom>
                        <a:noFill/>
                        <a:ln>
                          <a:noFill/>
                        </a:ln>
                      </pic:spPr>
                    </pic:pic>
                  </a:graphicData>
                </a:graphic>
              </wp:inline>
            </w:drawing>
          </w:r>
        </w:p>
      </w:tc>
      <w:tc>
        <w:tcPr>
          <w:tcW w:w="122" w:type="pct"/>
          <w:tcBorders>
            <w:top w:val="nil"/>
            <w:left w:val="nil"/>
            <w:bottom w:val="single" w:sz="4" w:space="0" w:color="auto"/>
            <w:right w:val="nil"/>
          </w:tcBorders>
          <w:shd w:val="clear" w:color="auto" w:fill="005A84"/>
        </w:tcPr>
        <w:p w14:paraId="20354012" w14:textId="77777777" w:rsidR="005A6DBB" w:rsidRDefault="005A6DBB">
          <w:pPr>
            <w:rPr>
              <w:sz w:val="20"/>
              <w:szCs w:val="20"/>
              <w:lang w:eastAsia="en-ZA"/>
            </w:rPr>
          </w:pPr>
        </w:p>
      </w:tc>
    </w:tr>
  </w:tbl>
  <w:p w14:paraId="15AA38AB" w14:textId="77777777" w:rsidR="005A6DBB" w:rsidRDefault="005A6DBB">
    <w:pPr>
      <w:pStyle w:val="Header"/>
      <w:tabs>
        <w:tab w:val="clear" w:pos="8640"/>
        <w:tab w:val="right" w:pos="8931"/>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single" w:sz="4" w:space="0" w:color="005A84"/>
        <w:right w:val="none" w:sz="0" w:space="0" w:color="auto"/>
        <w:insideH w:val="none" w:sz="0" w:space="0" w:color="auto"/>
        <w:insideV w:val="none" w:sz="0" w:space="0" w:color="auto"/>
      </w:tblBorders>
      <w:tblLook w:val="04A0" w:firstRow="1" w:lastRow="0" w:firstColumn="1" w:lastColumn="0" w:noHBand="0" w:noVBand="1"/>
    </w:tblPr>
    <w:tblGrid>
      <w:gridCol w:w="322"/>
      <w:gridCol w:w="11210"/>
      <w:gridCol w:w="2148"/>
      <w:gridCol w:w="322"/>
    </w:tblGrid>
    <w:tr w:rsidR="005A6DBB" w14:paraId="48CC47EF" w14:textId="77777777">
      <w:trPr>
        <w:trHeight w:val="1075"/>
        <w:jc w:val="center"/>
      </w:trPr>
      <w:tc>
        <w:tcPr>
          <w:tcW w:w="115" w:type="pct"/>
          <w:tcBorders>
            <w:top w:val="nil"/>
            <w:left w:val="nil"/>
            <w:bottom w:val="single" w:sz="4" w:space="0" w:color="auto"/>
            <w:right w:val="nil"/>
          </w:tcBorders>
          <w:shd w:val="clear" w:color="auto" w:fill="005A84"/>
        </w:tcPr>
        <w:p w14:paraId="5C9126CD" w14:textId="77777777" w:rsidR="005A6DBB" w:rsidRDefault="005A6DBB">
          <w:pPr>
            <w:spacing w:line="240" w:lineRule="auto"/>
            <w:ind w:left="-198" w:firstLine="41"/>
            <w:rPr>
              <w:sz w:val="20"/>
              <w:szCs w:val="20"/>
              <w:lang w:eastAsia="en-ZA"/>
            </w:rPr>
          </w:pPr>
        </w:p>
      </w:tc>
      <w:tc>
        <w:tcPr>
          <w:tcW w:w="4003" w:type="pct"/>
          <w:tcBorders>
            <w:top w:val="nil"/>
            <w:left w:val="nil"/>
            <w:bottom w:val="single" w:sz="4" w:space="0" w:color="auto"/>
            <w:right w:val="nil"/>
          </w:tcBorders>
          <w:vAlign w:val="center"/>
        </w:tcPr>
        <w:p w14:paraId="478A5C6A" w14:textId="77777777" w:rsidR="005A6DBB" w:rsidRDefault="00F93099">
          <w:pPr>
            <w:pStyle w:val="Header"/>
            <w:tabs>
              <w:tab w:val="left" w:pos="6048"/>
              <w:tab w:val="left" w:pos="6468"/>
              <w:tab w:val="right" w:pos="7263"/>
              <w:tab w:val="left" w:pos="7319"/>
            </w:tabs>
            <w:spacing w:line="240" w:lineRule="auto"/>
            <w:ind w:right="-102"/>
            <w:jc w:val="left"/>
            <w:rPr>
              <w:rFonts w:asciiTheme="minorHAnsi" w:hAnsiTheme="minorHAnsi" w:cs="Arial"/>
              <w:b/>
              <w:color w:val="002060"/>
              <w:sz w:val="18"/>
              <w:szCs w:val="18"/>
              <w:lang w:eastAsia="en-ZA"/>
            </w:rPr>
          </w:pPr>
          <w:r>
            <w:rPr>
              <w:rFonts w:asciiTheme="minorHAnsi" w:hAnsiTheme="minorHAnsi" w:cs="Arial"/>
              <w:b/>
              <w:color w:val="002060"/>
              <w:sz w:val="18"/>
              <w:szCs w:val="18"/>
              <w:lang w:eastAsia="en-ZA"/>
            </w:rPr>
            <w:t xml:space="preserve">MANGAUNG METROPOLITAN MUNICIPALITY </w:t>
          </w:r>
        </w:p>
        <w:p w14:paraId="22083576" w14:textId="77777777" w:rsidR="005A6DBB" w:rsidRDefault="00F93099">
          <w:pPr>
            <w:pStyle w:val="Header"/>
            <w:tabs>
              <w:tab w:val="left" w:pos="6048"/>
              <w:tab w:val="left" w:pos="6468"/>
              <w:tab w:val="right" w:pos="7263"/>
              <w:tab w:val="left" w:pos="7319"/>
            </w:tabs>
            <w:spacing w:line="240" w:lineRule="auto"/>
            <w:ind w:right="-102"/>
            <w:jc w:val="left"/>
            <w:rPr>
              <w:rFonts w:cs="Arial"/>
              <w:b/>
              <w:color w:val="002060"/>
              <w:sz w:val="18"/>
              <w:szCs w:val="18"/>
              <w:lang w:eastAsia="en-ZA"/>
            </w:rPr>
          </w:pPr>
          <w:r>
            <w:rPr>
              <w:rFonts w:cs="Arial"/>
              <w:b/>
              <w:color w:val="002060"/>
              <w:sz w:val="18"/>
              <w:szCs w:val="18"/>
              <w:lang w:eastAsia="en-ZA"/>
            </w:rPr>
            <w:t>DRAFT STATUS QUO ASSESSMENT</w:t>
          </w:r>
        </w:p>
        <w:p w14:paraId="2FF7B960" w14:textId="77777777" w:rsidR="005A6DBB" w:rsidRDefault="00F93099">
          <w:pPr>
            <w:pStyle w:val="Header"/>
            <w:tabs>
              <w:tab w:val="right" w:pos="7263"/>
              <w:tab w:val="left" w:pos="7440"/>
            </w:tabs>
            <w:spacing w:line="240" w:lineRule="auto"/>
            <w:jc w:val="left"/>
            <w:rPr>
              <w:rFonts w:cs="Arial"/>
              <w:b/>
              <w:color w:val="002060"/>
              <w:sz w:val="18"/>
              <w:szCs w:val="18"/>
              <w:lang w:eastAsia="en-ZA"/>
            </w:rPr>
          </w:pPr>
          <w:r>
            <w:rPr>
              <w:rFonts w:cs="Arial"/>
              <w:b/>
              <w:iCs/>
              <w:color w:val="002060"/>
              <w:sz w:val="18"/>
              <w:szCs w:val="18"/>
              <w:lang w:eastAsia="en-ZA"/>
            </w:rPr>
            <w:t>JUNE 2023</w:t>
          </w:r>
        </w:p>
      </w:tc>
      <w:tc>
        <w:tcPr>
          <w:tcW w:w="767" w:type="pct"/>
          <w:tcBorders>
            <w:top w:val="nil"/>
            <w:left w:val="nil"/>
            <w:bottom w:val="single" w:sz="4" w:space="0" w:color="auto"/>
            <w:right w:val="nil"/>
          </w:tcBorders>
          <w:vAlign w:val="center"/>
        </w:tcPr>
        <w:p w14:paraId="4D8F529E" w14:textId="77777777" w:rsidR="005A6DBB" w:rsidRDefault="00F93099">
          <w:pPr>
            <w:spacing w:line="240" w:lineRule="auto"/>
            <w:jc w:val="right"/>
            <w:rPr>
              <w:sz w:val="20"/>
              <w:szCs w:val="20"/>
              <w:lang w:eastAsia="en-ZA"/>
            </w:rPr>
          </w:pPr>
          <w:r>
            <w:rPr>
              <w:noProof/>
              <w:color w:val="0000FF"/>
              <w:sz w:val="20"/>
              <w:lang w:val="en-ZA" w:eastAsia="en-ZA"/>
            </w:rPr>
            <w:drawing>
              <wp:inline distT="0" distB="0" distL="0" distR="0" wp14:anchorId="2DBFBDCD" wp14:editId="2FE12EBA">
                <wp:extent cx="822960" cy="457200"/>
                <wp:effectExtent l="0" t="0" r="0" b="0"/>
                <wp:docPr id="995687781" name="Picture 995687781" descr="Image result for manga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7781" name="Picture 995687781" descr="Image result for manga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2960" cy="457200"/>
                        </a:xfrm>
                        <a:prstGeom prst="rect">
                          <a:avLst/>
                        </a:prstGeom>
                        <a:noFill/>
                        <a:ln>
                          <a:noFill/>
                        </a:ln>
                      </pic:spPr>
                    </pic:pic>
                  </a:graphicData>
                </a:graphic>
              </wp:inline>
            </w:drawing>
          </w:r>
        </w:p>
      </w:tc>
      <w:tc>
        <w:tcPr>
          <w:tcW w:w="115" w:type="pct"/>
          <w:tcBorders>
            <w:top w:val="nil"/>
            <w:left w:val="nil"/>
            <w:bottom w:val="single" w:sz="4" w:space="0" w:color="auto"/>
            <w:right w:val="nil"/>
          </w:tcBorders>
          <w:shd w:val="clear" w:color="auto" w:fill="005A84"/>
        </w:tcPr>
        <w:p w14:paraId="0E6160D3" w14:textId="77777777" w:rsidR="005A6DBB" w:rsidRDefault="005A6DBB">
          <w:pPr>
            <w:rPr>
              <w:sz w:val="20"/>
              <w:szCs w:val="20"/>
              <w:lang w:eastAsia="en-ZA"/>
            </w:rPr>
          </w:pPr>
        </w:p>
      </w:tc>
    </w:tr>
  </w:tbl>
  <w:p w14:paraId="5FF06806" w14:textId="77777777" w:rsidR="005A6DBB" w:rsidRDefault="005A6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ListBullet3"/>
      <w:lvlText w:val=""/>
      <w:lvlJc w:val="left"/>
      <w:pPr>
        <w:ind w:left="10567" w:hanging="360"/>
      </w:pPr>
      <w:rPr>
        <w:rFonts w:ascii="Symbol" w:hAnsi="Symbol" w:hint="default"/>
        <w:color w:val="002060"/>
      </w:rPr>
    </w:lvl>
  </w:abstractNum>
  <w:abstractNum w:abstractNumId="1" w15:restartNumberingAfterBreak="0">
    <w:nsid w:val="FFFFFF83"/>
    <w:multiLevelType w:val="singleLevel"/>
    <w:tmpl w:val="FFFFFF83"/>
    <w:lvl w:ilvl="0">
      <w:start w:val="1"/>
      <w:numFmt w:val="bullet"/>
      <w:pStyle w:val="ListBullet2"/>
      <w:lvlText w:val="o"/>
      <w:lvlJc w:val="left"/>
      <w:pPr>
        <w:ind w:left="927" w:hanging="360"/>
      </w:pPr>
      <w:rPr>
        <w:rFonts w:ascii="Courier New" w:hAnsi="Courier New" w:hint="default"/>
        <w:b/>
        <w:i w:val="0"/>
        <w:color w:val="002060"/>
        <w:sz w:val="20"/>
      </w:rPr>
    </w:lvl>
  </w:abstractNum>
  <w:abstractNum w:abstractNumId="2" w15:restartNumberingAfterBreak="0">
    <w:nsid w:val="112E4F4D"/>
    <w:multiLevelType w:val="multilevel"/>
    <w:tmpl w:val="112E4F4D"/>
    <w:lvl w:ilvl="0">
      <w:start w:val="1"/>
      <w:numFmt w:val="lowerLetter"/>
      <w:lvlText w:val="%1)"/>
      <w:lvlJc w:val="left"/>
      <w:pPr>
        <w:tabs>
          <w:tab w:val="left" w:pos="720"/>
        </w:tabs>
        <w:ind w:left="720" w:hanging="360"/>
      </w:pPr>
    </w:lvl>
    <w:lvl w:ilvl="1">
      <w:start w:val="1"/>
      <w:numFmt w:val="bullet"/>
      <w:pStyle w:val="Bullet-Indent"/>
      <w:lvlText w:val="o"/>
      <w:lvlJc w:val="left"/>
      <w:pPr>
        <w:tabs>
          <w:tab w:val="left" w:pos="1440"/>
        </w:tabs>
        <w:ind w:left="1440" w:hanging="360"/>
      </w:pPr>
      <w:rPr>
        <w:rFonts w:ascii="Courier New" w:hAnsi="Courier New" w:cs="Courier New"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2324D73"/>
    <w:multiLevelType w:val="multilevel"/>
    <w:tmpl w:val="12324D73"/>
    <w:lvl w:ilvl="0">
      <w:start w:val="1"/>
      <w:numFmt w:val="bullet"/>
      <w:pStyle w:val="Bulletsforqualifications"/>
      <w:lvlText w:val=""/>
      <w:lvlJc w:val="left"/>
      <w:pPr>
        <w:ind w:left="644" w:hanging="360"/>
      </w:pPr>
      <w:rPr>
        <w:rFonts w:ascii="Symbol" w:hAnsi="Symbol" w:hint="default"/>
        <w:b w:val="0"/>
        <w:i w:val="0"/>
        <w:color w:val="002060"/>
        <w:sz w:val="24"/>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4" w15:restartNumberingAfterBreak="0">
    <w:nsid w:val="33660FA4"/>
    <w:multiLevelType w:val="multilevel"/>
    <w:tmpl w:val="33660FA4"/>
    <w:lvl w:ilvl="0">
      <w:start w:val="1"/>
      <w:numFmt w:val="decimal"/>
      <w:lvlText w:val="%1."/>
      <w:lvlJc w:val="left"/>
      <w:pPr>
        <w:ind w:left="786" w:hanging="360"/>
      </w:pPr>
      <w:rPr>
        <w:rFonts w:asciiTheme="minorHAnsi"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BE3570"/>
    <w:multiLevelType w:val="multilevel"/>
    <w:tmpl w:val="33BE357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9C55ED"/>
    <w:multiLevelType w:val="multilevel"/>
    <w:tmpl w:val="359C55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FBC4FBE"/>
    <w:multiLevelType w:val="multilevel"/>
    <w:tmpl w:val="3FBC4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8AD1B0D"/>
    <w:multiLevelType w:val="multilevel"/>
    <w:tmpl w:val="58AD1B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DEA2879"/>
    <w:multiLevelType w:val="multilevel"/>
    <w:tmpl w:val="5DEA2879"/>
    <w:lvl w:ilvl="0">
      <w:start w:val="1"/>
      <w:numFmt w:val="decimal"/>
      <w:lvlText w:val="%1."/>
      <w:lvlJc w:val="left"/>
      <w:pPr>
        <w:ind w:left="360" w:hanging="360"/>
      </w:pPr>
      <w:rPr>
        <w:b/>
        <w:bCs w:val="0"/>
        <w:i w:val="0"/>
        <w:iCs w:val="0"/>
        <w:caps w:val="0"/>
        <w:smallCaps w:val="0"/>
        <w:strike w:val="0"/>
        <w:dstrike w:val="0"/>
        <w:vanish w:val="0"/>
        <w:color w:val="FFFFFF" w:themeColor="background1"/>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Heading2"/>
      <w:lvlText w:val="%1.%2"/>
      <w:lvlJc w:val="left"/>
      <w:pPr>
        <w:ind w:left="576" w:hanging="576"/>
      </w:pPr>
      <w:rPr>
        <w:rFonts w:ascii="Calibri" w:hAnsi="Calibri" w:hint="default"/>
      </w:rPr>
    </w:lvl>
    <w:lvl w:ilvl="2">
      <w:start w:val="1"/>
      <w:numFmt w:val="decimal"/>
      <w:pStyle w:val="Heading3"/>
      <w:lvlText w:val="%1.%2.%3"/>
      <w:lvlJc w:val="left"/>
      <w:pPr>
        <w:ind w:left="2564" w:hanging="720"/>
      </w:pPr>
    </w:lvl>
    <w:lvl w:ilvl="3">
      <w:start w:val="1"/>
      <w:numFmt w:val="decimal"/>
      <w:pStyle w:val="Heading4"/>
      <w:lvlText w:val="%1.%2.%3.%4"/>
      <w:lvlJc w:val="left"/>
      <w:pPr>
        <w:ind w:left="864" w:hanging="864"/>
      </w:pPr>
      <w:rPr>
        <w:b/>
        <w:bCs w:val="0"/>
        <w:i w:val="0"/>
        <w:iCs w:val="0"/>
        <w:caps w:val="0"/>
        <w:smallCaps w:val="0"/>
        <w:strike w:val="0"/>
        <w:dstrike w:val="0"/>
        <w:vanish w:val="0"/>
        <w:color w:val="002060"/>
        <w:spacing w:val="0"/>
        <w:kern w:val="0"/>
        <w:position w:val="0"/>
        <w:u w:val="none"/>
        <w:vertAlign w:val="base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24F0FD5"/>
    <w:multiLevelType w:val="multilevel"/>
    <w:tmpl w:val="724F0F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A7F28D4"/>
    <w:multiLevelType w:val="multilevel"/>
    <w:tmpl w:val="7A7F28D4"/>
    <w:lvl w:ilvl="0">
      <w:start w:val="1"/>
      <w:numFmt w:val="bullet"/>
      <w:pStyle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849366965">
    <w:abstractNumId w:val="9"/>
  </w:num>
  <w:num w:numId="2" w16cid:durableId="1399936576">
    <w:abstractNumId w:val="1"/>
  </w:num>
  <w:num w:numId="3" w16cid:durableId="1043484339">
    <w:abstractNumId w:val="0"/>
  </w:num>
  <w:num w:numId="4" w16cid:durableId="733502673">
    <w:abstractNumId w:val="2"/>
  </w:num>
  <w:num w:numId="5" w16cid:durableId="925766837">
    <w:abstractNumId w:val="11"/>
  </w:num>
  <w:num w:numId="6" w16cid:durableId="168254522">
    <w:abstractNumId w:val="3"/>
  </w:num>
  <w:num w:numId="7" w16cid:durableId="2043633560">
    <w:abstractNumId w:val="4"/>
  </w:num>
  <w:num w:numId="8" w16cid:durableId="1221481576">
    <w:abstractNumId w:val="7"/>
  </w:num>
  <w:num w:numId="9" w16cid:durableId="1366061626">
    <w:abstractNumId w:val="8"/>
  </w:num>
  <w:num w:numId="10" w16cid:durableId="2318000">
    <w:abstractNumId w:val="10"/>
  </w:num>
  <w:num w:numId="11" w16cid:durableId="226111707">
    <w:abstractNumId w:val="5"/>
  </w:num>
  <w:num w:numId="12" w16cid:durableId="13648648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2B6"/>
    <w:rsid w:val="00001F4C"/>
    <w:rsid w:val="00002050"/>
    <w:rsid w:val="00002297"/>
    <w:rsid w:val="00002329"/>
    <w:rsid w:val="000027B3"/>
    <w:rsid w:val="00002825"/>
    <w:rsid w:val="0000325D"/>
    <w:rsid w:val="0000335D"/>
    <w:rsid w:val="0000399C"/>
    <w:rsid w:val="000040DE"/>
    <w:rsid w:val="000044B6"/>
    <w:rsid w:val="0000477B"/>
    <w:rsid w:val="00004967"/>
    <w:rsid w:val="000051FD"/>
    <w:rsid w:val="00005E84"/>
    <w:rsid w:val="0000679E"/>
    <w:rsid w:val="000068EE"/>
    <w:rsid w:val="00006AFA"/>
    <w:rsid w:val="00006FEB"/>
    <w:rsid w:val="0000702D"/>
    <w:rsid w:val="000074C4"/>
    <w:rsid w:val="00007CED"/>
    <w:rsid w:val="00010472"/>
    <w:rsid w:val="000105D0"/>
    <w:rsid w:val="00010DD7"/>
    <w:rsid w:val="0001117D"/>
    <w:rsid w:val="00011494"/>
    <w:rsid w:val="000114C8"/>
    <w:rsid w:val="000117FB"/>
    <w:rsid w:val="00011E43"/>
    <w:rsid w:val="00011EDF"/>
    <w:rsid w:val="00012CA6"/>
    <w:rsid w:val="0001306E"/>
    <w:rsid w:val="000133A6"/>
    <w:rsid w:val="000147A7"/>
    <w:rsid w:val="0001494D"/>
    <w:rsid w:val="00015C19"/>
    <w:rsid w:val="00016529"/>
    <w:rsid w:val="0001686C"/>
    <w:rsid w:val="0001686D"/>
    <w:rsid w:val="000171FE"/>
    <w:rsid w:val="0001722E"/>
    <w:rsid w:val="000177C8"/>
    <w:rsid w:val="00017851"/>
    <w:rsid w:val="00017D9F"/>
    <w:rsid w:val="00017F0E"/>
    <w:rsid w:val="00017FD6"/>
    <w:rsid w:val="00020023"/>
    <w:rsid w:val="00020130"/>
    <w:rsid w:val="0002070C"/>
    <w:rsid w:val="00020795"/>
    <w:rsid w:val="0002115A"/>
    <w:rsid w:val="000215AD"/>
    <w:rsid w:val="0002170F"/>
    <w:rsid w:val="00021E90"/>
    <w:rsid w:val="00021FC0"/>
    <w:rsid w:val="0002227A"/>
    <w:rsid w:val="00022627"/>
    <w:rsid w:val="00022832"/>
    <w:rsid w:val="00022B30"/>
    <w:rsid w:val="00022CAC"/>
    <w:rsid w:val="000236AE"/>
    <w:rsid w:val="00023C96"/>
    <w:rsid w:val="00024893"/>
    <w:rsid w:val="00024D90"/>
    <w:rsid w:val="00025E84"/>
    <w:rsid w:val="00026CA4"/>
    <w:rsid w:val="00027055"/>
    <w:rsid w:val="00027DB8"/>
    <w:rsid w:val="00030A26"/>
    <w:rsid w:val="00030DD9"/>
    <w:rsid w:val="00031138"/>
    <w:rsid w:val="000313CE"/>
    <w:rsid w:val="00031469"/>
    <w:rsid w:val="0003155C"/>
    <w:rsid w:val="00031603"/>
    <w:rsid w:val="00031E46"/>
    <w:rsid w:val="000322A6"/>
    <w:rsid w:val="00032C01"/>
    <w:rsid w:val="0003347E"/>
    <w:rsid w:val="00033724"/>
    <w:rsid w:val="00033860"/>
    <w:rsid w:val="000344AA"/>
    <w:rsid w:val="000345C8"/>
    <w:rsid w:val="00034B90"/>
    <w:rsid w:val="00034DA2"/>
    <w:rsid w:val="00035126"/>
    <w:rsid w:val="000353F5"/>
    <w:rsid w:val="00035597"/>
    <w:rsid w:val="000356AE"/>
    <w:rsid w:val="00035A1A"/>
    <w:rsid w:val="000360CD"/>
    <w:rsid w:val="00036BCE"/>
    <w:rsid w:val="000377DB"/>
    <w:rsid w:val="0004038D"/>
    <w:rsid w:val="000403D3"/>
    <w:rsid w:val="0004077F"/>
    <w:rsid w:val="000409FF"/>
    <w:rsid w:val="00040B22"/>
    <w:rsid w:val="00040FF8"/>
    <w:rsid w:val="00041221"/>
    <w:rsid w:val="0004123D"/>
    <w:rsid w:val="00041354"/>
    <w:rsid w:val="00041515"/>
    <w:rsid w:val="0004154D"/>
    <w:rsid w:val="000415C6"/>
    <w:rsid w:val="00041926"/>
    <w:rsid w:val="000419A6"/>
    <w:rsid w:val="00041C6E"/>
    <w:rsid w:val="00041CEB"/>
    <w:rsid w:val="00041D3F"/>
    <w:rsid w:val="00042006"/>
    <w:rsid w:val="000423C2"/>
    <w:rsid w:val="00042519"/>
    <w:rsid w:val="00042ACF"/>
    <w:rsid w:val="000432C4"/>
    <w:rsid w:val="0004381B"/>
    <w:rsid w:val="00043CCF"/>
    <w:rsid w:val="00044094"/>
    <w:rsid w:val="000442BC"/>
    <w:rsid w:val="0004441F"/>
    <w:rsid w:val="00044649"/>
    <w:rsid w:val="00044920"/>
    <w:rsid w:val="000449E2"/>
    <w:rsid w:val="00045331"/>
    <w:rsid w:val="0004567F"/>
    <w:rsid w:val="00045D4A"/>
    <w:rsid w:val="00045E28"/>
    <w:rsid w:val="00046750"/>
    <w:rsid w:val="00046757"/>
    <w:rsid w:val="00046931"/>
    <w:rsid w:val="00047995"/>
    <w:rsid w:val="00047C84"/>
    <w:rsid w:val="000507B4"/>
    <w:rsid w:val="00050A47"/>
    <w:rsid w:val="00050B1D"/>
    <w:rsid w:val="000513FC"/>
    <w:rsid w:val="000518B1"/>
    <w:rsid w:val="000518D8"/>
    <w:rsid w:val="000518FA"/>
    <w:rsid w:val="00051ABC"/>
    <w:rsid w:val="00051B09"/>
    <w:rsid w:val="00051FC2"/>
    <w:rsid w:val="00052351"/>
    <w:rsid w:val="00052968"/>
    <w:rsid w:val="00052A07"/>
    <w:rsid w:val="00052BDD"/>
    <w:rsid w:val="00052CD6"/>
    <w:rsid w:val="00052F16"/>
    <w:rsid w:val="00052F50"/>
    <w:rsid w:val="000531FB"/>
    <w:rsid w:val="000537F9"/>
    <w:rsid w:val="000540D4"/>
    <w:rsid w:val="000546EC"/>
    <w:rsid w:val="00054880"/>
    <w:rsid w:val="00054954"/>
    <w:rsid w:val="00054AC0"/>
    <w:rsid w:val="0005540C"/>
    <w:rsid w:val="000555AA"/>
    <w:rsid w:val="000556AE"/>
    <w:rsid w:val="0005585A"/>
    <w:rsid w:val="00056B98"/>
    <w:rsid w:val="0005780A"/>
    <w:rsid w:val="00060347"/>
    <w:rsid w:val="00060D3D"/>
    <w:rsid w:val="00060E3C"/>
    <w:rsid w:val="00060FCF"/>
    <w:rsid w:val="000612C0"/>
    <w:rsid w:val="00061528"/>
    <w:rsid w:val="00061780"/>
    <w:rsid w:val="00061EBA"/>
    <w:rsid w:val="00061ED8"/>
    <w:rsid w:val="000622AD"/>
    <w:rsid w:val="00062560"/>
    <w:rsid w:val="00062FF6"/>
    <w:rsid w:val="000642A6"/>
    <w:rsid w:val="00064461"/>
    <w:rsid w:val="000648F9"/>
    <w:rsid w:val="0006490B"/>
    <w:rsid w:val="000650A4"/>
    <w:rsid w:val="00065243"/>
    <w:rsid w:val="000653FB"/>
    <w:rsid w:val="000657DC"/>
    <w:rsid w:val="00065B07"/>
    <w:rsid w:val="00065EF7"/>
    <w:rsid w:val="00066D76"/>
    <w:rsid w:val="00066FB6"/>
    <w:rsid w:val="00067DC0"/>
    <w:rsid w:val="000700D4"/>
    <w:rsid w:val="00070C11"/>
    <w:rsid w:val="00070C9D"/>
    <w:rsid w:val="00071D61"/>
    <w:rsid w:val="000727ED"/>
    <w:rsid w:val="00072ACD"/>
    <w:rsid w:val="00072FB5"/>
    <w:rsid w:val="00073248"/>
    <w:rsid w:val="000732C2"/>
    <w:rsid w:val="00073806"/>
    <w:rsid w:val="00074505"/>
    <w:rsid w:val="0007489F"/>
    <w:rsid w:val="00074C21"/>
    <w:rsid w:val="00075CD8"/>
    <w:rsid w:val="00075F2F"/>
    <w:rsid w:val="000763E5"/>
    <w:rsid w:val="000764F8"/>
    <w:rsid w:val="000767C3"/>
    <w:rsid w:val="00076DA4"/>
    <w:rsid w:val="00077187"/>
    <w:rsid w:val="000777CC"/>
    <w:rsid w:val="000779A6"/>
    <w:rsid w:val="00077B99"/>
    <w:rsid w:val="00077C8A"/>
    <w:rsid w:val="0008046C"/>
    <w:rsid w:val="00081CE4"/>
    <w:rsid w:val="00081F34"/>
    <w:rsid w:val="000823D0"/>
    <w:rsid w:val="0008251B"/>
    <w:rsid w:val="00082691"/>
    <w:rsid w:val="000828EE"/>
    <w:rsid w:val="00082A58"/>
    <w:rsid w:val="00082DDC"/>
    <w:rsid w:val="00082E71"/>
    <w:rsid w:val="000831F6"/>
    <w:rsid w:val="00083557"/>
    <w:rsid w:val="00083BCC"/>
    <w:rsid w:val="000846FA"/>
    <w:rsid w:val="0008485E"/>
    <w:rsid w:val="00084BBE"/>
    <w:rsid w:val="00084D09"/>
    <w:rsid w:val="0008532D"/>
    <w:rsid w:val="00085482"/>
    <w:rsid w:val="00085588"/>
    <w:rsid w:val="000858B1"/>
    <w:rsid w:val="00085BA1"/>
    <w:rsid w:val="00085C84"/>
    <w:rsid w:val="00086202"/>
    <w:rsid w:val="00086634"/>
    <w:rsid w:val="0008694F"/>
    <w:rsid w:val="00086AB7"/>
    <w:rsid w:val="0008702B"/>
    <w:rsid w:val="000872B1"/>
    <w:rsid w:val="0008761D"/>
    <w:rsid w:val="00087E5B"/>
    <w:rsid w:val="0009003C"/>
    <w:rsid w:val="000900C6"/>
    <w:rsid w:val="00090623"/>
    <w:rsid w:val="00090CE0"/>
    <w:rsid w:val="00090D3B"/>
    <w:rsid w:val="00091268"/>
    <w:rsid w:val="000912EA"/>
    <w:rsid w:val="00092022"/>
    <w:rsid w:val="00092315"/>
    <w:rsid w:val="000923AF"/>
    <w:rsid w:val="000924FF"/>
    <w:rsid w:val="00092768"/>
    <w:rsid w:val="00092E99"/>
    <w:rsid w:val="00093002"/>
    <w:rsid w:val="00093195"/>
    <w:rsid w:val="0009336B"/>
    <w:rsid w:val="00093608"/>
    <w:rsid w:val="00093D6D"/>
    <w:rsid w:val="00093F82"/>
    <w:rsid w:val="00095338"/>
    <w:rsid w:val="00095459"/>
    <w:rsid w:val="000955CD"/>
    <w:rsid w:val="000957F5"/>
    <w:rsid w:val="000958EB"/>
    <w:rsid w:val="00095A46"/>
    <w:rsid w:val="00095E83"/>
    <w:rsid w:val="0009602F"/>
    <w:rsid w:val="00096370"/>
    <w:rsid w:val="00096432"/>
    <w:rsid w:val="000973C2"/>
    <w:rsid w:val="000975F5"/>
    <w:rsid w:val="00097661"/>
    <w:rsid w:val="000A029F"/>
    <w:rsid w:val="000A0B57"/>
    <w:rsid w:val="000A0C11"/>
    <w:rsid w:val="000A0D1E"/>
    <w:rsid w:val="000A1031"/>
    <w:rsid w:val="000A1F74"/>
    <w:rsid w:val="000A23A5"/>
    <w:rsid w:val="000A27C5"/>
    <w:rsid w:val="000A31D7"/>
    <w:rsid w:val="000A321F"/>
    <w:rsid w:val="000A3384"/>
    <w:rsid w:val="000A33F6"/>
    <w:rsid w:val="000A386B"/>
    <w:rsid w:val="000A3F7E"/>
    <w:rsid w:val="000A41E0"/>
    <w:rsid w:val="000A4CC9"/>
    <w:rsid w:val="000A5091"/>
    <w:rsid w:val="000A50CE"/>
    <w:rsid w:val="000A511A"/>
    <w:rsid w:val="000A5381"/>
    <w:rsid w:val="000A5536"/>
    <w:rsid w:val="000A5B2D"/>
    <w:rsid w:val="000A5E1D"/>
    <w:rsid w:val="000A64CA"/>
    <w:rsid w:val="000A67A7"/>
    <w:rsid w:val="000A67C2"/>
    <w:rsid w:val="000A6A20"/>
    <w:rsid w:val="000A6F24"/>
    <w:rsid w:val="000A7256"/>
    <w:rsid w:val="000A76D4"/>
    <w:rsid w:val="000A7EED"/>
    <w:rsid w:val="000B0212"/>
    <w:rsid w:val="000B0386"/>
    <w:rsid w:val="000B03C0"/>
    <w:rsid w:val="000B0463"/>
    <w:rsid w:val="000B0E6A"/>
    <w:rsid w:val="000B0E6C"/>
    <w:rsid w:val="000B1112"/>
    <w:rsid w:val="000B1ABA"/>
    <w:rsid w:val="000B1B69"/>
    <w:rsid w:val="000B2921"/>
    <w:rsid w:val="000B2A26"/>
    <w:rsid w:val="000B303D"/>
    <w:rsid w:val="000B3833"/>
    <w:rsid w:val="000B3DC6"/>
    <w:rsid w:val="000B44A4"/>
    <w:rsid w:val="000B493D"/>
    <w:rsid w:val="000B56D8"/>
    <w:rsid w:val="000B5EAC"/>
    <w:rsid w:val="000B6110"/>
    <w:rsid w:val="000B68BD"/>
    <w:rsid w:val="000B6E8E"/>
    <w:rsid w:val="000B7562"/>
    <w:rsid w:val="000B7569"/>
    <w:rsid w:val="000B7751"/>
    <w:rsid w:val="000B7CF1"/>
    <w:rsid w:val="000B7F17"/>
    <w:rsid w:val="000C06E1"/>
    <w:rsid w:val="000C099F"/>
    <w:rsid w:val="000C14E3"/>
    <w:rsid w:val="000C18BB"/>
    <w:rsid w:val="000C18ED"/>
    <w:rsid w:val="000C1A2C"/>
    <w:rsid w:val="000C1E6B"/>
    <w:rsid w:val="000C2080"/>
    <w:rsid w:val="000C2478"/>
    <w:rsid w:val="000C2609"/>
    <w:rsid w:val="000C2CE2"/>
    <w:rsid w:val="000C317D"/>
    <w:rsid w:val="000C3214"/>
    <w:rsid w:val="000C336F"/>
    <w:rsid w:val="000C3396"/>
    <w:rsid w:val="000C33F5"/>
    <w:rsid w:val="000C3B6C"/>
    <w:rsid w:val="000C3E40"/>
    <w:rsid w:val="000C3EFA"/>
    <w:rsid w:val="000C427E"/>
    <w:rsid w:val="000C4DEA"/>
    <w:rsid w:val="000C4F97"/>
    <w:rsid w:val="000C5227"/>
    <w:rsid w:val="000C5809"/>
    <w:rsid w:val="000C5856"/>
    <w:rsid w:val="000C5AA7"/>
    <w:rsid w:val="000C6717"/>
    <w:rsid w:val="000C740C"/>
    <w:rsid w:val="000C741E"/>
    <w:rsid w:val="000C760D"/>
    <w:rsid w:val="000C7BC7"/>
    <w:rsid w:val="000D0443"/>
    <w:rsid w:val="000D0DFE"/>
    <w:rsid w:val="000D0E20"/>
    <w:rsid w:val="000D0E96"/>
    <w:rsid w:val="000D10F4"/>
    <w:rsid w:val="000D1583"/>
    <w:rsid w:val="000D1B6A"/>
    <w:rsid w:val="000D2F3B"/>
    <w:rsid w:val="000D3627"/>
    <w:rsid w:val="000D3743"/>
    <w:rsid w:val="000D3C4D"/>
    <w:rsid w:val="000D3D0E"/>
    <w:rsid w:val="000D48AF"/>
    <w:rsid w:val="000D4EFB"/>
    <w:rsid w:val="000D5BEB"/>
    <w:rsid w:val="000D60FC"/>
    <w:rsid w:val="000D6415"/>
    <w:rsid w:val="000D643F"/>
    <w:rsid w:val="000D67A3"/>
    <w:rsid w:val="000D6FCD"/>
    <w:rsid w:val="000D7100"/>
    <w:rsid w:val="000D72C6"/>
    <w:rsid w:val="000D76F2"/>
    <w:rsid w:val="000D7BD2"/>
    <w:rsid w:val="000D7EAB"/>
    <w:rsid w:val="000D7FAA"/>
    <w:rsid w:val="000E01E7"/>
    <w:rsid w:val="000E041D"/>
    <w:rsid w:val="000E08AA"/>
    <w:rsid w:val="000E0B74"/>
    <w:rsid w:val="000E0E2F"/>
    <w:rsid w:val="000E146B"/>
    <w:rsid w:val="000E1D2E"/>
    <w:rsid w:val="000E1E56"/>
    <w:rsid w:val="000E1FF7"/>
    <w:rsid w:val="000E2496"/>
    <w:rsid w:val="000E29F8"/>
    <w:rsid w:val="000E333D"/>
    <w:rsid w:val="000E3502"/>
    <w:rsid w:val="000E3866"/>
    <w:rsid w:val="000E3B57"/>
    <w:rsid w:val="000E4219"/>
    <w:rsid w:val="000E4347"/>
    <w:rsid w:val="000E4635"/>
    <w:rsid w:val="000E4D29"/>
    <w:rsid w:val="000E4E00"/>
    <w:rsid w:val="000E5344"/>
    <w:rsid w:val="000E5659"/>
    <w:rsid w:val="000E5E47"/>
    <w:rsid w:val="000E5F1F"/>
    <w:rsid w:val="000E6893"/>
    <w:rsid w:val="000E6923"/>
    <w:rsid w:val="000E7679"/>
    <w:rsid w:val="000E7883"/>
    <w:rsid w:val="000E7AE4"/>
    <w:rsid w:val="000F0309"/>
    <w:rsid w:val="000F05AE"/>
    <w:rsid w:val="000F0B5C"/>
    <w:rsid w:val="000F0C22"/>
    <w:rsid w:val="000F0F44"/>
    <w:rsid w:val="000F1A50"/>
    <w:rsid w:val="000F1BFC"/>
    <w:rsid w:val="000F1DEB"/>
    <w:rsid w:val="000F22B3"/>
    <w:rsid w:val="000F28B0"/>
    <w:rsid w:val="000F2B24"/>
    <w:rsid w:val="000F2D55"/>
    <w:rsid w:val="000F308A"/>
    <w:rsid w:val="000F30C6"/>
    <w:rsid w:val="000F3228"/>
    <w:rsid w:val="000F3278"/>
    <w:rsid w:val="000F3868"/>
    <w:rsid w:val="000F4090"/>
    <w:rsid w:val="000F45ED"/>
    <w:rsid w:val="000F47EA"/>
    <w:rsid w:val="000F4C55"/>
    <w:rsid w:val="000F5A02"/>
    <w:rsid w:val="000F5B81"/>
    <w:rsid w:val="000F6374"/>
    <w:rsid w:val="000F6884"/>
    <w:rsid w:val="000F6ABB"/>
    <w:rsid w:val="000F6DD1"/>
    <w:rsid w:val="000F7309"/>
    <w:rsid w:val="000F7476"/>
    <w:rsid w:val="000F77B1"/>
    <w:rsid w:val="000F7BC5"/>
    <w:rsid w:val="00100028"/>
    <w:rsid w:val="00100046"/>
    <w:rsid w:val="0010065B"/>
    <w:rsid w:val="00100B62"/>
    <w:rsid w:val="00101074"/>
    <w:rsid w:val="00101150"/>
    <w:rsid w:val="00101259"/>
    <w:rsid w:val="00101825"/>
    <w:rsid w:val="00101C28"/>
    <w:rsid w:val="00101D3E"/>
    <w:rsid w:val="00101F7C"/>
    <w:rsid w:val="00102103"/>
    <w:rsid w:val="00102305"/>
    <w:rsid w:val="001027B8"/>
    <w:rsid w:val="00102824"/>
    <w:rsid w:val="00102AE3"/>
    <w:rsid w:val="00102D60"/>
    <w:rsid w:val="0010334D"/>
    <w:rsid w:val="0010358E"/>
    <w:rsid w:val="00104269"/>
    <w:rsid w:val="00104990"/>
    <w:rsid w:val="00105160"/>
    <w:rsid w:val="00105210"/>
    <w:rsid w:val="00105FA9"/>
    <w:rsid w:val="001072E9"/>
    <w:rsid w:val="0010752E"/>
    <w:rsid w:val="0011032B"/>
    <w:rsid w:val="0011042F"/>
    <w:rsid w:val="0011103A"/>
    <w:rsid w:val="001119EC"/>
    <w:rsid w:val="00111A36"/>
    <w:rsid w:val="0011202F"/>
    <w:rsid w:val="001126B1"/>
    <w:rsid w:val="00112D84"/>
    <w:rsid w:val="001131C8"/>
    <w:rsid w:val="00113606"/>
    <w:rsid w:val="001138D2"/>
    <w:rsid w:val="00113AD6"/>
    <w:rsid w:val="001147A6"/>
    <w:rsid w:val="001151BB"/>
    <w:rsid w:val="001152A3"/>
    <w:rsid w:val="00115349"/>
    <w:rsid w:val="001155A7"/>
    <w:rsid w:val="00115B62"/>
    <w:rsid w:val="00115DF4"/>
    <w:rsid w:val="001161D5"/>
    <w:rsid w:val="00116339"/>
    <w:rsid w:val="0011642B"/>
    <w:rsid w:val="00116B8D"/>
    <w:rsid w:val="00116C6B"/>
    <w:rsid w:val="00116FEA"/>
    <w:rsid w:val="0011710D"/>
    <w:rsid w:val="001174DA"/>
    <w:rsid w:val="001174E2"/>
    <w:rsid w:val="001175D3"/>
    <w:rsid w:val="001178FE"/>
    <w:rsid w:val="001202BE"/>
    <w:rsid w:val="001207C7"/>
    <w:rsid w:val="00120CD3"/>
    <w:rsid w:val="00120D9F"/>
    <w:rsid w:val="00121010"/>
    <w:rsid w:val="00121194"/>
    <w:rsid w:val="0012133A"/>
    <w:rsid w:val="00121609"/>
    <w:rsid w:val="0012174F"/>
    <w:rsid w:val="001219CB"/>
    <w:rsid w:val="001221A0"/>
    <w:rsid w:val="00122227"/>
    <w:rsid w:val="00123011"/>
    <w:rsid w:val="001231C9"/>
    <w:rsid w:val="0012333B"/>
    <w:rsid w:val="00123F33"/>
    <w:rsid w:val="001241F9"/>
    <w:rsid w:val="001242F0"/>
    <w:rsid w:val="00124453"/>
    <w:rsid w:val="001246FA"/>
    <w:rsid w:val="00124AA8"/>
    <w:rsid w:val="001251A5"/>
    <w:rsid w:val="0012552C"/>
    <w:rsid w:val="00125650"/>
    <w:rsid w:val="00125B8F"/>
    <w:rsid w:val="0012611A"/>
    <w:rsid w:val="0012623B"/>
    <w:rsid w:val="00126633"/>
    <w:rsid w:val="001266EA"/>
    <w:rsid w:val="00126E28"/>
    <w:rsid w:val="001270A4"/>
    <w:rsid w:val="00127320"/>
    <w:rsid w:val="00127496"/>
    <w:rsid w:val="00127637"/>
    <w:rsid w:val="0012779F"/>
    <w:rsid w:val="0012787D"/>
    <w:rsid w:val="001304F7"/>
    <w:rsid w:val="00130544"/>
    <w:rsid w:val="0013150E"/>
    <w:rsid w:val="00131878"/>
    <w:rsid w:val="00131976"/>
    <w:rsid w:val="00131A57"/>
    <w:rsid w:val="00131ACE"/>
    <w:rsid w:val="00132548"/>
    <w:rsid w:val="00132617"/>
    <w:rsid w:val="00132832"/>
    <w:rsid w:val="00132A52"/>
    <w:rsid w:val="00132AE5"/>
    <w:rsid w:val="0013306C"/>
    <w:rsid w:val="0013327E"/>
    <w:rsid w:val="00133F7A"/>
    <w:rsid w:val="00134D47"/>
    <w:rsid w:val="00134DAF"/>
    <w:rsid w:val="001356EA"/>
    <w:rsid w:val="00136347"/>
    <w:rsid w:val="00136372"/>
    <w:rsid w:val="00136434"/>
    <w:rsid w:val="00136DBA"/>
    <w:rsid w:val="00136E3B"/>
    <w:rsid w:val="00137078"/>
    <w:rsid w:val="001374A6"/>
    <w:rsid w:val="001379EE"/>
    <w:rsid w:val="00137E22"/>
    <w:rsid w:val="001404FA"/>
    <w:rsid w:val="00140728"/>
    <w:rsid w:val="00140896"/>
    <w:rsid w:val="001418AF"/>
    <w:rsid w:val="00141910"/>
    <w:rsid w:val="001419D2"/>
    <w:rsid w:val="001422DA"/>
    <w:rsid w:val="001425D7"/>
    <w:rsid w:val="00142D1A"/>
    <w:rsid w:val="00143801"/>
    <w:rsid w:val="00143A64"/>
    <w:rsid w:val="00143AEC"/>
    <w:rsid w:val="00143DA3"/>
    <w:rsid w:val="00143DF6"/>
    <w:rsid w:val="00143FA8"/>
    <w:rsid w:val="001440D1"/>
    <w:rsid w:val="0014431D"/>
    <w:rsid w:val="00144982"/>
    <w:rsid w:val="001449B5"/>
    <w:rsid w:val="00144D66"/>
    <w:rsid w:val="00144ED7"/>
    <w:rsid w:val="00144F8A"/>
    <w:rsid w:val="00145184"/>
    <w:rsid w:val="00145199"/>
    <w:rsid w:val="00145502"/>
    <w:rsid w:val="001455A5"/>
    <w:rsid w:val="001459A2"/>
    <w:rsid w:val="00145AF7"/>
    <w:rsid w:val="00145BDE"/>
    <w:rsid w:val="00145E16"/>
    <w:rsid w:val="00146000"/>
    <w:rsid w:val="00146284"/>
    <w:rsid w:val="001463D5"/>
    <w:rsid w:val="00146FD9"/>
    <w:rsid w:val="00147123"/>
    <w:rsid w:val="001472D4"/>
    <w:rsid w:val="00147488"/>
    <w:rsid w:val="00147862"/>
    <w:rsid w:val="001478B9"/>
    <w:rsid w:val="00147971"/>
    <w:rsid w:val="00147BF0"/>
    <w:rsid w:val="00147DAE"/>
    <w:rsid w:val="001508B8"/>
    <w:rsid w:val="00150AE3"/>
    <w:rsid w:val="00150D5E"/>
    <w:rsid w:val="001524FA"/>
    <w:rsid w:val="0015255F"/>
    <w:rsid w:val="00152564"/>
    <w:rsid w:val="0015372A"/>
    <w:rsid w:val="00153E1B"/>
    <w:rsid w:val="00153F5B"/>
    <w:rsid w:val="00154339"/>
    <w:rsid w:val="001547DD"/>
    <w:rsid w:val="00154BD9"/>
    <w:rsid w:val="00154CDB"/>
    <w:rsid w:val="001553C6"/>
    <w:rsid w:val="0015561F"/>
    <w:rsid w:val="0015567A"/>
    <w:rsid w:val="00155BB4"/>
    <w:rsid w:val="00155E8D"/>
    <w:rsid w:val="00156561"/>
    <w:rsid w:val="00156582"/>
    <w:rsid w:val="00156AB9"/>
    <w:rsid w:val="00156CAF"/>
    <w:rsid w:val="00156D46"/>
    <w:rsid w:val="001570FD"/>
    <w:rsid w:val="00157140"/>
    <w:rsid w:val="001572D3"/>
    <w:rsid w:val="00157936"/>
    <w:rsid w:val="00157ABE"/>
    <w:rsid w:val="00157C82"/>
    <w:rsid w:val="00157DDB"/>
    <w:rsid w:val="001608FC"/>
    <w:rsid w:val="00161DDF"/>
    <w:rsid w:val="00162489"/>
    <w:rsid w:val="001626D8"/>
    <w:rsid w:val="001629BD"/>
    <w:rsid w:val="00162AE3"/>
    <w:rsid w:val="00162E9A"/>
    <w:rsid w:val="001634EA"/>
    <w:rsid w:val="001636F7"/>
    <w:rsid w:val="00163E14"/>
    <w:rsid w:val="00163F2D"/>
    <w:rsid w:val="001644BB"/>
    <w:rsid w:val="001648DA"/>
    <w:rsid w:val="00164CF3"/>
    <w:rsid w:val="001650F5"/>
    <w:rsid w:val="001651C2"/>
    <w:rsid w:val="001659B1"/>
    <w:rsid w:val="0016606F"/>
    <w:rsid w:val="00166163"/>
    <w:rsid w:val="001661D2"/>
    <w:rsid w:val="00166204"/>
    <w:rsid w:val="00167A45"/>
    <w:rsid w:val="00167E07"/>
    <w:rsid w:val="00170522"/>
    <w:rsid w:val="001709F0"/>
    <w:rsid w:val="00170F05"/>
    <w:rsid w:val="0017105E"/>
    <w:rsid w:val="001719CC"/>
    <w:rsid w:val="00171C5F"/>
    <w:rsid w:val="00172736"/>
    <w:rsid w:val="00172A27"/>
    <w:rsid w:val="00172AF4"/>
    <w:rsid w:val="001734C0"/>
    <w:rsid w:val="001737AC"/>
    <w:rsid w:val="00174646"/>
    <w:rsid w:val="001747A3"/>
    <w:rsid w:val="00175DFB"/>
    <w:rsid w:val="001761EF"/>
    <w:rsid w:val="001765D6"/>
    <w:rsid w:val="00176ADF"/>
    <w:rsid w:val="00176C22"/>
    <w:rsid w:val="0017708E"/>
    <w:rsid w:val="0017710E"/>
    <w:rsid w:val="00177634"/>
    <w:rsid w:val="001777B9"/>
    <w:rsid w:val="00177F85"/>
    <w:rsid w:val="0018040A"/>
    <w:rsid w:val="00180520"/>
    <w:rsid w:val="00180802"/>
    <w:rsid w:val="00180B6C"/>
    <w:rsid w:val="00181074"/>
    <w:rsid w:val="001815DF"/>
    <w:rsid w:val="001818BA"/>
    <w:rsid w:val="00181D71"/>
    <w:rsid w:val="00181F12"/>
    <w:rsid w:val="0018213D"/>
    <w:rsid w:val="00182404"/>
    <w:rsid w:val="00182D74"/>
    <w:rsid w:val="00183512"/>
    <w:rsid w:val="00183533"/>
    <w:rsid w:val="00183C3D"/>
    <w:rsid w:val="001845E9"/>
    <w:rsid w:val="0018463A"/>
    <w:rsid w:val="00184A22"/>
    <w:rsid w:val="00184A7A"/>
    <w:rsid w:val="00184B38"/>
    <w:rsid w:val="00184B74"/>
    <w:rsid w:val="00185136"/>
    <w:rsid w:val="00185C8E"/>
    <w:rsid w:val="00185D15"/>
    <w:rsid w:val="00186283"/>
    <w:rsid w:val="001868A9"/>
    <w:rsid w:val="00186D8E"/>
    <w:rsid w:val="0018762D"/>
    <w:rsid w:val="00187A4B"/>
    <w:rsid w:val="00187C3E"/>
    <w:rsid w:val="00187F53"/>
    <w:rsid w:val="00190067"/>
    <w:rsid w:val="001900D9"/>
    <w:rsid w:val="00190639"/>
    <w:rsid w:val="001909B0"/>
    <w:rsid w:val="00190B91"/>
    <w:rsid w:val="00190E91"/>
    <w:rsid w:val="001910F0"/>
    <w:rsid w:val="00191520"/>
    <w:rsid w:val="00191541"/>
    <w:rsid w:val="00191561"/>
    <w:rsid w:val="00191650"/>
    <w:rsid w:val="00191742"/>
    <w:rsid w:val="0019191F"/>
    <w:rsid w:val="00191AED"/>
    <w:rsid w:val="00192C79"/>
    <w:rsid w:val="00193D48"/>
    <w:rsid w:val="00193D8D"/>
    <w:rsid w:val="001943F2"/>
    <w:rsid w:val="00194A93"/>
    <w:rsid w:val="0019516D"/>
    <w:rsid w:val="00195559"/>
    <w:rsid w:val="00195DA6"/>
    <w:rsid w:val="00196182"/>
    <w:rsid w:val="001963CD"/>
    <w:rsid w:val="001966A6"/>
    <w:rsid w:val="00196D8E"/>
    <w:rsid w:val="00196E40"/>
    <w:rsid w:val="00197714"/>
    <w:rsid w:val="00197808"/>
    <w:rsid w:val="001A027F"/>
    <w:rsid w:val="001A056E"/>
    <w:rsid w:val="001A0833"/>
    <w:rsid w:val="001A0866"/>
    <w:rsid w:val="001A0DB5"/>
    <w:rsid w:val="001A0E35"/>
    <w:rsid w:val="001A0F76"/>
    <w:rsid w:val="001A1350"/>
    <w:rsid w:val="001A1540"/>
    <w:rsid w:val="001A24FD"/>
    <w:rsid w:val="001A2621"/>
    <w:rsid w:val="001A33AD"/>
    <w:rsid w:val="001A40B4"/>
    <w:rsid w:val="001A46BD"/>
    <w:rsid w:val="001A4769"/>
    <w:rsid w:val="001A4A0C"/>
    <w:rsid w:val="001A4C8B"/>
    <w:rsid w:val="001A4DA8"/>
    <w:rsid w:val="001A4E3A"/>
    <w:rsid w:val="001A5210"/>
    <w:rsid w:val="001A5413"/>
    <w:rsid w:val="001A547D"/>
    <w:rsid w:val="001A59EA"/>
    <w:rsid w:val="001A5AD6"/>
    <w:rsid w:val="001A5EF4"/>
    <w:rsid w:val="001A64B1"/>
    <w:rsid w:val="001A6DAD"/>
    <w:rsid w:val="001A6E2D"/>
    <w:rsid w:val="001A6E8D"/>
    <w:rsid w:val="001A7587"/>
    <w:rsid w:val="001A7831"/>
    <w:rsid w:val="001B0618"/>
    <w:rsid w:val="001B09F6"/>
    <w:rsid w:val="001B0C0F"/>
    <w:rsid w:val="001B0F87"/>
    <w:rsid w:val="001B131E"/>
    <w:rsid w:val="001B16EB"/>
    <w:rsid w:val="001B1B64"/>
    <w:rsid w:val="001B1D82"/>
    <w:rsid w:val="001B2CF8"/>
    <w:rsid w:val="001B348B"/>
    <w:rsid w:val="001B36D2"/>
    <w:rsid w:val="001B44A6"/>
    <w:rsid w:val="001B4ECE"/>
    <w:rsid w:val="001B5130"/>
    <w:rsid w:val="001B56A1"/>
    <w:rsid w:val="001B6738"/>
    <w:rsid w:val="001B6887"/>
    <w:rsid w:val="001B74F1"/>
    <w:rsid w:val="001B794B"/>
    <w:rsid w:val="001B7B0A"/>
    <w:rsid w:val="001C0697"/>
    <w:rsid w:val="001C0910"/>
    <w:rsid w:val="001C1546"/>
    <w:rsid w:val="001C1735"/>
    <w:rsid w:val="001C2429"/>
    <w:rsid w:val="001C29DF"/>
    <w:rsid w:val="001C2CE6"/>
    <w:rsid w:val="001C2F50"/>
    <w:rsid w:val="001C370D"/>
    <w:rsid w:val="001C39F3"/>
    <w:rsid w:val="001C3A0D"/>
    <w:rsid w:val="001C4209"/>
    <w:rsid w:val="001C436A"/>
    <w:rsid w:val="001C44B9"/>
    <w:rsid w:val="001C474D"/>
    <w:rsid w:val="001C4DCA"/>
    <w:rsid w:val="001C5BB1"/>
    <w:rsid w:val="001C5D58"/>
    <w:rsid w:val="001C6CCB"/>
    <w:rsid w:val="001C719C"/>
    <w:rsid w:val="001C7360"/>
    <w:rsid w:val="001C7546"/>
    <w:rsid w:val="001C7736"/>
    <w:rsid w:val="001C7756"/>
    <w:rsid w:val="001D009A"/>
    <w:rsid w:val="001D0568"/>
    <w:rsid w:val="001D09BE"/>
    <w:rsid w:val="001D155D"/>
    <w:rsid w:val="001D1741"/>
    <w:rsid w:val="001D18FC"/>
    <w:rsid w:val="001D19BE"/>
    <w:rsid w:val="001D2012"/>
    <w:rsid w:val="001D22BC"/>
    <w:rsid w:val="001D2A61"/>
    <w:rsid w:val="001D2F71"/>
    <w:rsid w:val="001D3CEF"/>
    <w:rsid w:val="001D3E96"/>
    <w:rsid w:val="001D3F49"/>
    <w:rsid w:val="001D4045"/>
    <w:rsid w:val="001D490F"/>
    <w:rsid w:val="001D5249"/>
    <w:rsid w:val="001D5FDC"/>
    <w:rsid w:val="001D63B9"/>
    <w:rsid w:val="001D65C4"/>
    <w:rsid w:val="001D6754"/>
    <w:rsid w:val="001D6B76"/>
    <w:rsid w:val="001D6D67"/>
    <w:rsid w:val="001D7058"/>
    <w:rsid w:val="001D773D"/>
    <w:rsid w:val="001D7F7D"/>
    <w:rsid w:val="001E0429"/>
    <w:rsid w:val="001E0606"/>
    <w:rsid w:val="001E0C21"/>
    <w:rsid w:val="001E0DDE"/>
    <w:rsid w:val="001E18BD"/>
    <w:rsid w:val="001E21A2"/>
    <w:rsid w:val="001E2237"/>
    <w:rsid w:val="001E2CA5"/>
    <w:rsid w:val="001E36BF"/>
    <w:rsid w:val="001E3768"/>
    <w:rsid w:val="001E3A47"/>
    <w:rsid w:val="001E41EE"/>
    <w:rsid w:val="001E4229"/>
    <w:rsid w:val="001E49B4"/>
    <w:rsid w:val="001E4DDE"/>
    <w:rsid w:val="001E4FD5"/>
    <w:rsid w:val="001E5538"/>
    <w:rsid w:val="001E5F36"/>
    <w:rsid w:val="001E60DC"/>
    <w:rsid w:val="001E759E"/>
    <w:rsid w:val="001E76DC"/>
    <w:rsid w:val="001E7A6B"/>
    <w:rsid w:val="001E7ED7"/>
    <w:rsid w:val="001F0255"/>
    <w:rsid w:val="001F0454"/>
    <w:rsid w:val="001F1243"/>
    <w:rsid w:val="001F14C8"/>
    <w:rsid w:val="001F18EC"/>
    <w:rsid w:val="001F1BB0"/>
    <w:rsid w:val="001F1D8E"/>
    <w:rsid w:val="001F1E1B"/>
    <w:rsid w:val="001F1E6C"/>
    <w:rsid w:val="001F241F"/>
    <w:rsid w:val="001F2706"/>
    <w:rsid w:val="001F27A9"/>
    <w:rsid w:val="001F3262"/>
    <w:rsid w:val="001F3AC7"/>
    <w:rsid w:val="001F47CF"/>
    <w:rsid w:val="001F48DD"/>
    <w:rsid w:val="001F4A63"/>
    <w:rsid w:val="001F4B7D"/>
    <w:rsid w:val="001F4B91"/>
    <w:rsid w:val="001F4FEF"/>
    <w:rsid w:val="001F5232"/>
    <w:rsid w:val="001F5249"/>
    <w:rsid w:val="001F5295"/>
    <w:rsid w:val="001F55AE"/>
    <w:rsid w:val="001F5756"/>
    <w:rsid w:val="001F57CF"/>
    <w:rsid w:val="001F58B0"/>
    <w:rsid w:val="001F5CD4"/>
    <w:rsid w:val="001F5EF0"/>
    <w:rsid w:val="001F5F5F"/>
    <w:rsid w:val="001F673D"/>
    <w:rsid w:val="001F68BF"/>
    <w:rsid w:val="001F7042"/>
    <w:rsid w:val="001F7365"/>
    <w:rsid w:val="001F73CB"/>
    <w:rsid w:val="001F73EE"/>
    <w:rsid w:val="001F75FD"/>
    <w:rsid w:val="001F7672"/>
    <w:rsid w:val="002003D4"/>
    <w:rsid w:val="00200945"/>
    <w:rsid w:val="002013E8"/>
    <w:rsid w:val="00201475"/>
    <w:rsid w:val="00201719"/>
    <w:rsid w:val="0020177A"/>
    <w:rsid w:val="00201BC0"/>
    <w:rsid w:val="002030BF"/>
    <w:rsid w:val="00203326"/>
    <w:rsid w:val="0020385A"/>
    <w:rsid w:val="002038B4"/>
    <w:rsid w:val="00204274"/>
    <w:rsid w:val="00204372"/>
    <w:rsid w:val="002043FC"/>
    <w:rsid w:val="00204CF3"/>
    <w:rsid w:val="00205EC1"/>
    <w:rsid w:val="00205F2F"/>
    <w:rsid w:val="0020630E"/>
    <w:rsid w:val="00206AD0"/>
    <w:rsid w:val="00206B46"/>
    <w:rsid w:val="00206CEC"/>
    <w:rsid w:val="00207068"/>
    <w:rsid w:val="002109F3"/>
    <w:rsid w:val="00212C3F"/>
    <w:rsid w:val="00212DAC"/>
    <w:rsid w:val="002136F1"/>
    <w:rsid w:val="00214647"/>
    <w:rsid w:val="00214677"/>
    <w:rsid w:val="00214769"/>
    <w:rsid w:val="00214C3C"/>
    <w:rsid w:val="00214F33"/>
    <w:rsid w:val="0021527D"/>
    <w:rsid w:val="00215399"/>
    <w:rsid w:val="00215566"/>
    <w:rsid w:val="002157BB"/>
    <w:rsid w:val="00215A87"/>
    <w:rsid w:val="00215D45"/>
    <w:rsid w:val="0021609E"/>
    <w:rsid w:val="002163A7"/>
    <w:rsid w:val="00216636"/>
    <w:rsid w:val="002166E8"/>
    <w:rsid w:val="00216CB4"/>
    <w:rsid w:val="00217B3F"/>
    <w:rsid w:val="00217DB4"/>
    <w:rsid w:val="0022003E"/>
    <w:rsid w:val="00220073"/>
    <w:rsid w:val="002215AE"/>
    <w:rsid w:val="00221767"/>
    <w:rsid w:val="002219B1"/>
    <w:rsid w:val="00221AD8"/>
    <w:rsid w:val="00222532"/>
    <w:rsid w:val="00222EAB"/>
    <w:rsid w:val="00222F55"/>
    <w:rsid w:val="002240FC"/>
    <w:rsid w:val="00224151"/>
    <w:rsid w:val="0022426A"/>
    <w:rsid w:val="002242D4"/>
    <w:rsid w:val="002244FA"/>
    <w:rsid w:val="00224BEB"/>
    <w:rsid w:val="002251D5"/>
    <w:rsid w:val="00225458"/>
    <w:rsid w:val="002254A2"/>
    <w:rsid w:val="0022566E"/>
    <w:rsid w:val="00225D5C"/>
    <w:rsid w:val="00226FF2"/>
    <w:rsid w:val="0022736C"/>
    <w:rsid w:val="0023130C"/>
    <w:rsid w:val="0023174D"/>
    <w:rsid w:val="00231CEC"/>
    <w:rsid w:val="00232064"/>
    <w:rsid w:val="002322A4"/>
    <w:rsid w:val="0023248B"/>
    <w:rsid w:val="002325A6"/>
    <w:rsid w:val="00232780"/>
    <w:rsid w:val="002328B4"/>
    <w:rsid w:val="00233594"/>
    <w:rsid w:val="00233623"/>
    <w:rsid w:val="0023406A"/>
    <w:rsid w:val="00234786"/>
    <w:rsid w:val="00234886"/>
    <w:rsid w:val="00234915"/>
    <w:rsid w:val="0023585B"/>
    <w:rsid w:val="00235C01"/>
    <w:rsid w:val="002360D5"/>
    <w:rsid w:val="002367AA"/>
    <w:rsid w:val="00236B00"/>
    <w:rsid w:val="00236E0C"/>
    <w:rsid w:val="0023703F"/>
    <w:rsid w:val="0023744C"/>
    <w:rsid w:val="002378CF"/>
    <w:rsid w:val="00237937"/>
    <w:rsid w:val="00240021"/>
    <w:rsid w:val="00240C92"/>
    <w:rsid w:val="00240EC3"/>
    <w:rsid w:val="0024132B"/>
    <w:rsid w:val="00241901"/>
    <w:rsid w:val="00242F13"/>
    <w:rsid w:val="00243413"/>
    <w:rsid w:val="002434BB"/>
    <w:rsid w:val="00243765"/>
    <w:rsid w:val="00243E2C"/>
    <w:rsid w:val="002440C6"/>
    <w:rsid w:val="002440D2"/>
    <w:rsid w:val="002442BC"/>
    <w:rsid w:val="002442C1"/>
    <w:rsid w:val="00244301"/>
    <w:rsid w:val="0024491C"/>
    <w:rsid w:val="002454D6"/>
    <w:rsid w:val="00245652"/>
    <w:rsid w:val="002459B7"/>
    <w:rsid w:val="00245C1F"/>
    <w:rsid w:val="00246111"/>
    <w:rsid w:val="00246259"/>
    <w:rsid w:val="0024755C"/>
    <w:rsid w:val="00247A3F"/>
    <w:rsid w:val="00247DBF"/>
    <w:rsid w:val="00250C00"/>
    <w:rsid w:val="0025134A"/>
    <w:rsid w:val="002516F9"/>
    <w:rsid w:val="002518CB"/>
    <w:rsid w:val="00252039"/>
    <w:rsid w:val="0025343E"/>
    <w:rsid w:val="00253888"/>
    <w:rsid w:val="00253C3C"/>
    <w:rsid w:val="00254175"/>
    <w:rsid w:val="00254417"/>
    <w:rsid w:val="00254A98"/>
    <w:rsid w:val="0025509F"/>
    <w:rsid w:val="00255663"/>
    <w:rsid w:val="002556F9"/>
    <w:rsid w:val="00255F1B"/>
    <w:rsid w:val="00256056"/>
    <w:rsid w:val="00256E88"/>
    <w:rsid w:val="00257292"/>
    <w:rsid w:val="002572B5"/>
    <w:rsid w:val="00257363"/>
    <w:rsid w:val="002574A5"/>
    <w:rsid w:val="00257C4E"/>
    <w:rsid w:val="00260324"/>
    <w:rsid w:val="0026059C"/>
    <w:rsid w:val="002605D1"/>
    <w:rsid w:val="0026072E"/>
    <w:rsid w:val="00260C01"/>
    <w:rsid w:val="00260E00"/>
    <w:rsid w:val="0026151A"/>
    <w:rsid w:val="00261E38"/>
    <w:rsid w:val="00262612"/>
    <w:rsid w:val="002628D6"/>
    <w:rsid w:val="00262A74"/>
    <w:rsid w:val="00263E26"/>
    <w:rsid w:val="0026400D"/>
    <w:rsid w:val="0026445C"/>
    <w:rsid w:val="002644EF"/>
    <w:rsid w:val="00265A32"/>
    <w:rsid w:val="00265B3A"/>
    <w:rsid w:val="00265C49"/>
    <w:rsid w:val="00265FE6"/>
    <w:rsid w:val="0026626E"/>
    <w:rsid w:val="002667A4"/>
    <w:rsid w:val="00266B8B"/>
    <w:rsid w:val="00266C9E"/>
    <w:rsid w:val="00266F59"/>
    <w:rsid w:val="00267109"/>
    <w:rsid w:val="00267613"/>
    <w:rsid w:val="00267614"/>
    <w:rsid w:val="00267774"/>
    <w:rsid w:val="00270138"/>
    <w:rsid w:val="0027029A"/>
    <w:rsid w:val="00270366"/>
    <w:rsid w:val="002706DE"/>
    <w:rsid w:val="00271250"/>
    <w:rsid w:val="00271A2E"/>
    <w:rsid w:val="00271B8F"/>
    <w:rsid w:val="002720B3"/>
    <w:rsid w:val="002721E5"/>
    <w:rsid w:val="002723BF"/>
    <w:rsid w:val="00272C5C"/>
    <w:rsid w:val="00272D21"/>
    <w:rsid w:val="00272E6F"/>
    <w:rsid w:val="0027377F"/>
    <w:rsid w:val="002739FB"/>
    <w:rsid w:val="00273B23"/>
    <w:rsid w:val="00273FB4"/>
    <w:rsid w:val="002741D3"/>
    <w:rsid w:val="00274323"/>
    <w:rsid w:val="00274A79"/>
    <w:rsid w:val="00274B5B"/>
    <w:rsid w:val="002752F1"/>
    <w:rsid w:val="00275317"/>
    <w:rsid w:val="0027585C"/>
    <w:rsid w:val="00275B12"/>
    <w:rsid w:val="00276113"/>
    <w:rsid w:val="0027612E"/>
    <w:rsid w:val="00276575"/>
    <w:rsid w:val="0027671B"/>
    <w:rsid w:val="00276D18"/>
    <w:rsid w:val="00277122"/>
    <w:rsid w:val="00277940"/>
    <w:rsid w:val="00277FBB"/>
    <w:rsid w:val="002804A3"/>
    <w:rsid w:val="002805E7"/>
    <w:rsid w:val="002809EB"/>
    <w:rsid w:val="00280FD9"/>
    <w:rsid w:val="0028170F"/>
    <w:rsid w:val="0028190A"/>
    <w:rsid w:val="00281A69"/>
    <w:rsid w:val="00281B58"/>
    <w:rsid w:val="00282062"/>
    <w:rsid w:val="002825D3"/>
    <w:rsid w:val="00282B93"/>
    <w:rsid w:val="002830BD"/>
    <w:rsid w:val="0028369D"/>
    <w:rsid w:val="00284089"/>
    <w:rsid w:val="002843DC"/>
    <w:rsid w:val="0028463C"/>
    <w:rsid w:val="002846C6"/>
    <w:rsid w:val="00284F53"/>
    <w:rsid w:val="00285427"/>
    <w:rsid w:val="0028635E"/>
    <w:rsid w:val="0028668C"/>
    <w:rsid w:val="002871BF"/>
    <w:rsid w:val="0028764E"/>
    <w:rsid w:val="00287CCE"/>
    <w:rsid w:val="00287F86"/>
    <w:rsid w:val="002904F6"/>
    <w:rsid w:val="002905AE"/>
    <w:rsid w:val="002906E5"/>
    <w:rsid w:val="00290B0C"/>
    <w:rsid w:val="00290E69"/>
    <w:rsid w:val="002912A1"/>
    <w:rsid w:val="0029146A"/>
    <w:rsid w:val="00292404"/>
    <w:rsid w:val="002925EC"/>
    <w:rsid w:val="0029323E"/>
    <w:rsid w:val="00293254"/>
    <w:rsid w:val="00293606"/>
    <w:rsid w:val="00294093"/>
    <w:rsid w:val="00294A38"/>
    <w:rsid w:val="002951D7"/>
    <w:rsid w:val="002953C9"/>
    <w:rsid w:val="00295B45"/>
    <w:rsid w:val="00295D77"/>
    <w:rsid w:val="002961D1"/>
    <w:rsid w:val="002962D8"/>
    <w:rsid w:val="00296525"/>
    <w:rsid w:val="0029655E"/>
    <w:rsid w:val="0029666E"/>
    <w:rsid w:val="002972B3"/>
    <w:rsid w:val="00297472"/>
    <w:rsid w:val="00297BE0"/>
    <w:rsid w:val="00297DF1"/>
    <w:rsid w:val="002A00A4"/>
    <w:rsid w:val="002A00CD"/>
    <w:rsid w:val="002A0789"/>
    <w:rsid w:val="002A0DC8"/>
    <w:rsid w:val="002A166F"/>
    <w:rsid w:val="002A1784"/>
    <w:rsid w:val="002A1A23"/>
    <w:rsid w:val="002A1D33"/>
    <w:rsid w:val="002A2F49"/>
    <w:rsid w:val="002A3085"/>
    <w:rsid w:val="002A30D6"/>
    <w:rsid w:val="002A311F"/>
    <w:rsid w:val="002A39D5"/>
    <w:rsid w:val="002A3B36"/>
    <w:rsid w:val="002A406F"/>
    <w:rsid w:val="002A425B"/>
    <w:rsid w:val="002A4550"/>
    <w:rsid w:val="002A460A"/>
    <w:rsid w:val="002A53F0"/>
    <w:rsid w:val="002A6308"/>
    <w:rsid w:val="002A6382"/>
    <w:rsid w:val="002A695E"/>
    <w:rsid w:val="002A7052"/>
    <w:rsid w:val="002A7131"/>
    <w:rsid w:val="002A738F"/>
    <w:rsid w:val="002A75BC"/>
    <w:rsid w:val="002A75EB"/>
    <w:rsid w:val="002A771F"/>
    <w:rsid w:val="002A7B36"/>
    <w:rsid w:val="002B03CE"/>
    <w:rsid w:val="002B0F63"/>
    <w:rsid w:val="002B11F5"/>
    <w:rsid w:val="002B1429"/>
    <w:rsid w:val="002B1E23"/>
    <w:rsid w:val="002B22E3"/>
    <w:rsid w:val="002B26F4"/>
    <w:rsid w:val="002B2823"/>
    <w:rsid w:val="002B29AB"/>
    <w:rsid w:val="002B29D7"/>
    <w:rsid w:val="002B2C8C"/>
    <w:rsid w:val="002B2CE8"/>
    <w:rsid w:val="002B2EBF"/>
    <w:rsid w:val="002B3279"/>
    <w:rsid w:val="002B3367"/>
    <w:rsid w:val="002B34D3"/>
    <w:rsid w:val="002B3577"/>
    <w:rsid w:val="002B3772"/>
    <w:rsid w:val="002B3BD4"/>
    <w:rsid w:val="002B3C5B"/>
    <w:rsid w:val="002B3CE1"/>
    <w:rsid w:val="002B3E7E"/>
    <w:rsid w:val="002B48DE"/>
    <w:rsid w:val="002B5026"/>
    <w:rsid w:val="002B5671"/>
    <w:rsid w:val="002B598B"/>
    <w:rsid w:val="002B5A0E"/>
    <w:rsid w:val="002B5B13"/>
    <w:rsid w:val="002B5DE8"/>
    <w:rsid w:val="002B6DB2"/>
    <w:rsid w:val="002B7078"/>
    <w:rsid w:val="002B731A"/>
    <w:rsid w:val="002B75E4"/>
    <w:rsid w:val="002B7617"/>
    <w:rsid w:val="002B76F1"/>
    <w:rsid w:val="002B7AD2"/>
    <w:rsid w:val="002B7DA2"/>
    <w:rsid w:val="002C05B7"/>
    <w:rsid w:val="002C0BDD"/>
    <w:rsid w:val="002C0C88"/>
    <w:rsid w:val="002C0D99"/>
    <w:rsid w:val="002C11E6"/>
    <w:rsid w:val="002C126E"/>
    <w:rsid w:val="002C17C4"/>
    <w:rsid w:val="002C18A3"/>
    <w:rsid w:val="002C1D26"/>
    <w:rsid w:val="002C2023"/>
    <w:rsid w:val="002C20CA"/>
    <w:rsid w:val="002C2C38"/>
    <w:rsid w:val="002C2DE4"/>
    <w:rsid w:val="002C3316"/>
    <w:rsid w:val="002C3362"/>
    <w:rsid w:val="002C3CDB"/>
    <w:rsid w:val="002C3DB0"/>
    <w:rsid w:val="002C401A"/>
    <w:rsid w:val="002C41DC"/>
    <w:rsid w:val="002C4397"/>
    <w:rsid w:val="002C4F75"/>
    <w:rsid w:val="002C58D0"/>
    <w:rsid w:val="002C613D"/>
    <w:rsid w:val="002C67FD"/>
    <w:rsid w:val="002C70E4"/>
    <w:rsid w:val="002C799D"/>
    <w:rsid w:val="002C7BDA"/>
    <w:rsid w:val="002C7F38"/>
    <w:rsid w:val="002D0A8F"/>
    <w:rsid w:val="002D0F3B"/>
    <w:rsid w:val="002D0FCF"/>
    <w:rsid w:val="002D16B7"/>
    <w:rsid w:val="002D1944"/>
    <w:rsid w:val="002D20B8"/>
    <w:rsid w:val="002D2675"/>
    <w:rsid w:val="002D2DAD"/>
    <w:rsid w:val="002D2E3D"/>
    <w:rsid w:val="002D2E41"/>
    <w:rsid w:val="002D3169"/>
    <w:rsid w:val="002D3254"/>
    <w:rsid w:val="002D3685"/>
    <w:rsid w:val="002D3DAE"/>
    <w:rsid w:val="002D42DE"/>
    <w:rsid w:val="002D4651"/>
    <w:rsid w:val="002D4F50"/>
    <w:rsid w:val="002D53C2"/>
    <w:rsid w:val="002D5874"/>
    <w:rsid w:val="002D5B04"/>
    <w:rsid w:val="002D5D35"/>
    <w:rsid w:val="002D6324"/>
    <w:rsid w:val="002D63F6"/>
    <w:rsid w:val="002D675C"/>
    <w:rsid w:val="002D677B"/>
    <w:rsid w:val="002D6FC6"/>
    <w:rsid w:val="002D7395"/>
    <w:rsid w:val="002D786C"/>
    <w:rsid w:val="002E0197"/>
    <w:rsid w:val="002E0240"/>
    <w:rsid w:val="002E0475"/>
    <w:rsid w:val="002E0AB7"/>
    <w:rsid w:val="002E0BA1"/>
    <w:rsid w:val="002E0E1D"/>
    <w:rsid w:val="002E0F4C"/>
    <w:rsid w:val="002E11D9"/>
    <w:rsid w:val="002E1579"/>
    <w:rsid w:val="002E2581"/>
    <w:rsid w:val="002E25E4"/>
    <w:rsid w:val="002E28EB"/>
    <w:rsid w:val="002E2B49"/>
    <w:rsid w:val="002E2CC1"/>
    <w:rsid w:val="002E30AD"/>
    <w:rsid w:val="002E3D11"/>
    <w:rsid w:val="002E4100"/>
    <w:rsid w:val="002E4315"/>
    <w:rsid w:val="002E4875"/>
    <w:rsid w:val="002E4B75"/>
    <w:rsid w:val="002E51C8"/>
    <w:rsid w:val="002E549C"/>
    <w:rsid w:val="002E563D"/>
    <w:rsid w:val="002E5682"/>
    <w:rsid w:val="002E5F45"/>
    <w:rsid w:val="002E655C"/>
    <w:rsid w:val="002E67E9"/>
    <w:rsid w:val="002E681A"/>
    <w:rsid w:val="002E6A19"/>
    <w:rsid w:val="002E6EFC"/>
    <w:rsid w:val="002E7A47"/>
    <w:rsid w:val="002E7DDA"/>
    <w:rsid w:val="002E7F12"/>
    <w:rsid w:val="002F0080"/>
    <w:rsid w:val="002F015F"/>
    <w:rsid w:val="002F10E6"/>
    <w:rsid w:val="002F115E"/>
    <w:rsid w:val="002F11A4"/>
    <w:rsid w:val="002F1651"/>
    <w:rsid w:val="002F17E1"/>
    <w:rsid w:val="002F1B75"/>
    <w:rsid w:val="002F1C99"/>
    <w:rsid w:val="002F1ED8"/>
    <w:rsid w:val="002F2566"/>
    <w:rsid w:val="002F326A"/>
    <w:rsid w:val="002F38CA"/>
    <w:rsid w:val="002F3A01"/>
    <w:rsid w:val="002F3E3E"/>
    <w:rsid w:val="002F3F8D"/>
    <w:rsid w:val="002F40D9"/>
    <w:rsid w:val="002F44B0"/>
    <w:rsid w:val="002F458B"/>
    <w:rsid w:val="002F5C7C"/>
    <w:rsid w:val="002F5CE4"/>
    <w:rsid w:val="002F5DDD"/>
    <w:rsid w:val="002F6470"/>
    <w:rsid w:val="002F6897"/>
    <w:rsid w:val="002F6A8B"/>
    <w:rsid w:val="002F715F"/>
    <w:rsid w:val="002F7439"/>
    <w:rsid w:val="002F761C"/>
    <w:rsid w:val="002F76B4"/>
    <w:rsid w:val="002F788A"/>
    <w:rsid w:val="00300EDF"/>
    <w:rsid w:val="003017CB"/>
    <w:rsid w:val="0030194A"/>
    <w:rsid w:val="0030196E"/>
    <w:rsid w:val="00301C0A"/>
    <w:rsid w:val="003021D9"/>
    <w:rsid w:val="003026F3"/>
    <w:rsid w:val="00302974"/>
    <w:rsid w:val="003034B2"/>
    <w:rsid w:val="003039A5"/>
    <w:rsid w:val="00303C9F"/>
    <w:rsid w:val="003048EE"/>
    <w:rsid w:val="00304AC0"/>
    <w:rsid w:val="00304BBA"/>
    <w:rsid w:val="0030561B"/>
    <w:rsid w:val="00305A1A"/>
    <w:rsid w:val="00305F7E"/>
    <w:rsid w:val="003071EC"/>
    <w:rsid w:val="00307E46"/>
    <w:rsid w:val="00307E5D"/>
    <w:rsid w:val="00307EE0"/>
    <w:rsid w:val="0031007C"/>
    <w:rsid w:val="00310487"/>
    <w:rsid w:val="00310CDE"/>
    <w:rsid w:val="0031113A"/>
    <w:rsid w:val="0031116A"/>
    <w:rsid w:val="00311CB6"/>
    <w:rsid w:val="00312037"/>
    <w:rsid w:val="00312071"/>
    <w:rsid w:val="003122EA"/>
    <w:rsid w:val="00312439"/>
    <w:rsid w:val="0031297B"/>
    <w:rsid w:val="00313144"/>
    <w:rsid w:val="00313484"/>
    <w:rsid w:val="00313B6B"/>
    <w:rsid w:val="003142C2"/>
    <w:rsid w:val="003145C4"/>
    <w:rsid w:val="00314880"/>
    <w:rsid w:val="003148B9"/>
    <w:rsid w:val="003148CD"/>
    <w:rsid w:val="00314A0A"/>
    <w:rsid w:val="00314BE1"/>
    <w:rsid w:val="00314ECF"/>
    <w:rsid w:val="00315439"/>
    <w:rsid w:val="0031559D"/>
    <w:rsid w:val="003158E7"/>
    <w:rsid w:val="003159F6"/>
    <w:rsid w:val="00315BBE"/>
    <w:rsid w:val="00315D77"/>
    <w:rsid w:val="0031614C"/>
    <w:rsid w:val="003161DB"/>
    <w:rsid w:val="0031685F"/>
    <w:rsid w:val="00316AEC"/>
    <w:rsid w:val="00317119"/>
    <w:rsid w:val="00317275"/>
    <w:rsid w:val="00317948"/>
    <w:rsid w:val="00317D61"/>
    <w:rsid w:val="00317E02"/>
    <w:rsid w:val="00317E7C"/>
    <w:rsid w:val="003200B7"/>
    <w:rsid w:val="0032048C"/>
    <w:rsid w:val="00320823"/>
    <w:rsid w:val="00320F64"/>
    <w:rsid w:val="00321958"/>
    <w:rsid w:val="00321BEF"/>
    <w:rsid w:val="003223B8"/>
    <w:rsid w:val="00322405"/>
    <w:rsid w:val="00322529"/>
    <w:rsid w:val="00322C5D"/>
    <w:rsid w:val="00322E68"/>
    <w:rsid w:val="00322F1D"/>
    <w:rsid w:val="0032348A"/>
    <w:rsid w:val="00323D30"/>
    <w:rsid w:val="00323E77"/>
    <w:rsid w:val="00323E96"/>
    <w:rsid w:val="0032404F"/>
    <w:rsid w:val="003240B4"/>
    <w:rsid w:val="00324431"/>
    <w:rsid w:val="003248D2"/>
    <w:rsid w:val="00324A04"/>
    <w:rsid w:val="00324A50"/>
    <w:rsid w:val="0032529A"/>
    <w:rsid w:val="00325509"/>
    <w:rsid w:val="00325BF3"/>
    <w:rsid w:val="00326224"/>
    <w:rsid w:val="003265EE"/>
    <w:rsid w:val="0032662D"/>
    <w:rsid w:val="00326738"/>
    <w:rsid w:val="003268A7"/>
    <w:rsid w:val="00326BAA"/>
    <w:rsid w:val="00327094"/>
    <w:rsid w:val="00327936"/>
    <w:rsid w:val="003279DA"/>
    <w:rsid w:val="00327D35"/>
    <w:rsid w:val="00327F51"/>
    <w:rsid w:val="00330CCD"/>
    <w:rsid w:val="00330F66"/>
    <w:rsid w:val="003310EA"/>
    <w:rsid w:val="0033151B"/>
    <w:rsid w:val="0033162B"/>
    <w:rsid w:val="003318C6"/>
    <w:rsid w:val="00331F67"/>
    <w:rsid w:val="00331F95"/>
    <w:rsid w:val="0033216C"/>
    <w:rsid w:val="003321C3"/>
    <w:rsid w:val="003323C8"/>
    <w:rsid w:val="00332777"/>
    <w:rsid w:val="00332DD0"/>
    <w:rsid w:val="0033302C"/>
    <w:rsid w:val="00333131"/>
    <w:rsid w:val="00333BB7"/>
    <w:rsid w:val="00334459"/>
    <w:rsid w:val="00335661"/>
    <w:rsid w:val="00335E1C"/>
    <w:rsid w:val="003363DF"/>
    <w:rsid w:val="00336583"/>
    <w:rsid w:val="00336689"/>
    <w:rsid w:val="00337AD5"/>
    <w:rsid w:val="00337B72"/>
    <w:rsid w:val="00337D4E"/>
    <w:rsid w:val="00337F97"/>
    <w:rsid w:val="003402F3"/>
    <w:rsid w:val="0034059C"/>
    <w:rsid w:val="003406FB"/>
    <w:rsid w:val="0034080F"/>
    <w:rsid w:val="003409E0"/>
    <w:rsid w:val="00340F8D"/>
    <w:rsid w:val="0034122E"/>
    <w:rsid w:val="003413C9"/>
    <w:rsid w:val="00341403"/>
    <w:rsid w:val="00341701"/>
    <w:rsid w:val="00341D33"/>
    <w:rsid w:val="00341F65"/>
    <w:rsid w:val="00342395"/>
    <w:rsid w:val="0034241D"/>
    <w:rsid w:val="00342475"/>
    <w:rsid w:val="00342BD4"/>
    <w:rsid w:val="00342D65"/>
    <w:rsid w:val="00342F1C"/>
    <w:rsid w:val="00343AF9"/>
    <w:rsid w:val="00343F6E"/>
    <w:rsid w:val="00344297"/>
    <w:rsid w:val="00344347"/>
    <w:rsid w:val="003443A2"/>
    <w:rsid w:val="00344584"/>
    <w:rsid w:val="003446B2"/>
    <w:rsid w:val="003447CD"/>
    <w:rsid w:val="003448D7"/>
    <w:rsid w:val="00345051"/>
    <w:rsid w:val="003451C3"/>
    <w:rsid w:val="00345BD0"/>
    <w:rsid w:val="00345C3B"/>
    <w:rsid w:val="00345D27"/>
    <w:rsid w:val="00345DC1"/>
    <w:rsid w:val="003466DF"/>
    <w:rsid w:val="00346A5B"/>
    <w:rsid w:val="00346A7E"/>
    <w:rsid w:val="00346DAA"/>
    <w:rsid w:val="00346EC3"/>
    <w:rsid w:val="00346F84"/>
    <w:rsid w:val="00346F8F"/>
    <w:rsid w:val="00346FD8"/>
    <w:rsid w:val="00347005"/>
    <w:rsid w:val="0034767F"/>
    <w:rsid w:val="003476CA"/>
    <w:rsid w:val="0034771B"/>
    <w:rsid w:val="0034791F"/>
    <w:rsid w:val="003479B4"/>
    <w:rsid w:val="00347C0E"/>
    <w:rsid w:val="00347C65"/>
    <w:rsid w:val="00350D41"/>
    <w:rsid w:val="00350E45"/>
    <w:rsid w:val="0035116E"/>
    <w:rsid w:val="00351613"/>
    <w:rsid w:val="00351CCB"/>
    <w:rsid w:val="00351E1B"/>
    <w:rsid w:val="003521C9"/>
    <w:rsid w:val="00352DB4"/>
    <w:rsid w:val="00353097"/>
    <w:rsid w:val="0035356D"/>
    <w:rsid w:val="00353A06"/>
    <w:rsid w:val="003540F9"/>
    <w:rsid w:val="00354336"/>
    <w:rsid w:val="0035494A"/>
    <w:rsid w:val="00354A81"/>
    <w:rsid w:val="003553F9"/>
    <w:rsid w:val="003558EA"/>
    <w:rsid w:val="00355A9F"/>
    <w:rsid w:val="00355CA9"/>
    <w:rsid w:val="00355D24"/>
    <w:rsid w:val="00355FD4"/>
    <w:rsid w:val="0035656F"/>
    <w:rsid w:val="003571B5"/>
    <w:rsid w:val="00357A02"/>
    <w:rsid w:val="00357D36"/>
    <w:rsid w:val="00357DF7"/>
    <w:rsid w:val="00357FF9"/>
    <w:rsid w:val="0036005C"/>
    <w:rsid w:val="003607B8"/>
    <w:rsid w:val="003609E3"/>
    <w:rsid w:val="0036114F"/>
    <w:rsid w:val="0036140C"/>
    <w:rsid w:val="0036143D"/>
    <w:rsid w:val="003615ED"/>
    <w:rsid w:val="0036179D"/>
    <w:rsid w:val="00361A6F"/>
    <w:rsid w:val="00362039"/>
    <w:rsid w:val="00362198"/>
    <w:rsid w:val="00362665"/>
    <w:rsid w:val="003636B8"/>
    <w:rsid w:val="00364294"/>
    <w:rsid w:val="00364297"/>
    <w:rsid w:val="00364A55"/>
    <w:rsid w:val="003651CE"/>
    <w:rsid w:val="003653ED"/>
    <w:rsid w:val="00365863"/>
    <w:rsid w:val="00365A9B"/>
    <w:rsid w:val="00365BC3"/>
    <w:rsid w:val="00365C9D"/>
    <w:rsid w:val="003660E2"/>
    <w:rsid w:val="00366155"/>
    <w:rsid w:val="003667F9"/>
    <w:rsid w:val="00366D05"/>
    <w:rsid w:val="00367325"/>
    <w:rsid w:val="00367E15"/>
    <w:rsid w:val="00370005"/>
    <w:rsid w:val="003705DC"/>
    <w:rsid w:val="00371043"/>
    <w:rsid w:val="00371071"/>
    <w:rsid w:val="0037128E"/>
    <w:rsid w:val="00371FB9"/>
    <w:rsid w:val="0037213B"/>
    <w:rsid w:val="003728FA"/>
    <w:rsid w:val="003729DC"/>
    <w:rsid w:val="00372A51"/>
    <w:rsid w:val="00372C54"/>
    <w:rsid w:val="00372CFC"/>
    <w:rsid w:val="00373955"/>
    <w:rsid w:val="00373B2F"/>
    <w:rsid w:val="00373F49"/>
    <w:rsid w:val="00373F77"/>
    <w:rsid w:val="0037406C"/>
    <w:rsid w:val="0037408D"/>
    <w:rsid w:val="003741D3"/>
    <w:rsid w:val="00374387"/>
    <w:rsid w:val="003746F7"/>
    <w:rsid w:val="00374897"/>
    <w:rsid w:val="00374BE2"/>
    <w:rsid w:val="00374C57"/>
    <w:rsid w:val="00375AFD"/>
    <w:rsid w:val="003763E6"/>
    <w:rsid w:val="003765CF"/>
    <w:rsid w:val="00376777"/>
    <w:rsid w:val="0037691A"/>
    <w:rsid w:val="00376AC8"/>
    <w:rsid w:val="00376BA6"/>
    <w:rsid w:val="00376BDB"/>
    <w:rsid w:val="00376C3A"/>
    <w:rsid w:val="00376D0B"/>
    <w:rsid w:val="003776F5"/>
    <w:rsid w:val="003777D8"/>
    <w:rsid w:val="00377928"/>
    <w:rsid w:val="00380027"/>
    <w:rsid w:val="0038029C"/>
    <w:rsid w:val="00380C8A"/>
    <w:rsid w:val="00380E2B"/>
    <w:rsid w:val="003813FB"/>
    <w:rsid w:val="003816A1"/>
    <w:rsid w:val="003816F9"/>
    <w:rsid w:val="0038177C"/>
    <w:rsid w:val="00381A23"/>
    <w:rsid w:val="0038272C"/>
    <w:rsid w:val="00382B9C"/>
    <w:rsid w:val="00382FF5"/>
    <w:rsid w:val="003831C5"/>
    <w:rsid w:val="00383649"/>
    <w:rsid w:val="00383D34"/>
    <w:rsid w:val="00383DC9"/>
    <w:rsid w:val="00383F35"/>
    <w:rsid w:val="00383F86"/>
    <w:rsid w:val="00383FF9"/>
    <w:rsid w:val="0038403F"/>
    <w:rsid w:val="003840AD"/>
    <w:rsid w:val="003840B5"/>
    <w:rsid w:val="00384579"/>
    <w:rsid w:val="0038466C"/>
    <w:rsid w:val="003846E8"/>
    <w:rsid w:val="00384FA6"/>
    <w:rsid w:val="0038593E"/>
    <w:rsid w:val="00387308"/>
    <w:rsid w:val="00387904"/>
    <w:rsid w:val="0039101E"/>
    <w:rsid w:val="00391D37"/>
    <w:rsid w:val="00391F9D"/>
    <w:rsid w:val="003928BA"/>
    <w:rsid w:val="00392A80"/>
    <w:rsid w:val="00392D62"/>
    <w:rsid w:val="003938EB"/>
    <w:rsid w:val="00393D50"/>
    <w:rsid w:val="00394121"/>
    <w:rsid w:val="003941A8"/>
    <w:rsid w:val="00394289"/>
    <w:rsid w:val="00394455"/>
    <w:rsid w:val="0039526B"/>
    <w:rsid w:val="00395A40"/>
    <w:rsid w:val="00395C4D"/>
    <w:rsid w:val="00396075"/>
    <w:rsid w:val="00396A6A"/>
    <w:rsid w:val="00396DE7"/>
    <w:rsid w:val="00397142"/>
    <w:rsid w:val="00397149"/>
    <w:rsid w:val="003A0851"/>
    <w:rsid w:val="003A0F9F"/>
    <w:rsid w:val="003A1203"/>
    <w:rsid w:val="003A14BB"/>
    <w:rsid w:val="003A1E24"/>
    <w:rsid w:val="003A1FEB"/>
    <w:rsid w:val="003A208D"/>
    <w:rsid w:val="003A2252"/>
    <w:rsid w:val="003A2857"/>
    <w:rsid w:val="003A29D6"/>
    <w:rsid w:val="003A2EB3"/>
    <w:rsid w:val="003A30AC"/>
    <w:rsid w:val="003A394C"/>
    <w:rsid w:val="003A4569"/>
    <w:rsid w:val="003A489B"/>
    <w:rsid w:val="003A4B77"/>
    <w:rsid w:val="003A4EA3"/>
    <w:rsid w:val="003A5A74"/>
    <w:rsid w:val="003A6501"/>
    <w:rsid w:val="003A65B1"/>
    <w:rsid w:val="003A7F55"/>
    <w:rsid w:val="003B06E4"/>
    <w:rsid w:val="003B0A35"/>
    <w:rsid w:val="003B0BEF"/>
    <w:rsid w:val="003B0F98"/>
    <w:rsid w:val="003B1169"/>
    <w:rsid w:val="003B1AC4"/>
    <w:rsid w:val="003B1EC7"/>
    <w:rsid w:val="003B1F2A"/>
    <w:rsid w:val="003B1FC7"/>
    <w:rsid w:val="003B20B1"/>
    <w:rsid w:val="003B249D"/>
    <w:rsid w:val="003B26EF"/>
    <w:rsid w:val="003B2F8A"/>
    <w:rsid w:val="003B301D"/>
    <w:rsid w:val="003B30FD"/>
    <w:rsid w:val="003B3198"/>
    <w:rsid w:val="003B32BF"/>
    <w:rsid w:val="003B364A"/>
    <w:rsid w:val="003B3A2C"/>
    <w:rsid w:val="003B3DED"/>
    <w:rsid w:val="003B3E10"/>
    <w:rsid w:val="003B4396"/>
    <w:rsid w:val="003B5477"/>
    <w:rsid w:val="003B54F2"/>
    <w:rsid w:val="003B5DC8"/>
    <w:rsid w:val="003B5DD0"/>
    <w:rsid w:val="003B6036"/>
    <w:rsid w:val="003B6381"/>
    <w:rsid w:val="003B67FA"/>
    <w:rsid w:val="003B6BEF"/>
    <w:rsid w:val="003B6D8A"/>
    <w:rsid w:val="003B6E3B"/>
    <w:rsid w:val="003B6E85"/>
    <w:rsid w:val="003B7292"/>
    <w:rsid w:val="003B729F"/>
    <w:rsid w:val="003B72FA"/>
    <w:rsid w:val="003B77A5"/>
    <w:rsid w:val="003B7B40"/>
    <w:rsid w:val="003B7DFB"/>
    <w:rsid w:val="003C029B"/>
    <w:rsid w:val="003C0A19"/>
    <w:rsid w:val="003C0A2A"/>
    <w:rsid w:val="003C0DF9"/>
    <w:rsid w:val="003C161A"/>
    <w:rsid w:val="003C19FE"/>
    <w:rsid w:val="003C1FDE"/>
    <w:rsid w:val="003C239E"/>
    <w:rsid w:val="003C254A"/>
    <w:rsid w:val="003C2652"/>
    <w:rsid w:val="003C2998"/>
    <w:rsid w:val="003C2CAB"/>
    <w:rsid w:val="003C328A"/>
    <w:rsid w:val="003C438C"/>
    <w:rsid w:val="003C4683"/>
    <w:rsid w:val="003C48BE"/>
    <w:rsid w:val="003C4C9F"/>
    <w:rsid w:val="003C4DD7"/>
    <w:rsid w:val="003C5274"/>
    <w:rsid w:val="003C5857"/>
    <w:rsid w:val="003C63CD"/>
    <w:rsid w:val="003C68A7"/>
    <w:rsid w:val="003C790B"/>
    <w:rsid w:val="003D0C45"/>
    <w:rsid w:val="003D0E12"/>
    <w:rsid w:val="003D1105"/>
    <w:rsid w:val="003D114C"/>
    <w:rsid w:val="003D14D4"/>
    <w:rsid w:val="003D1A66"/>
    <w:rsid w:val="003D1B0A"/>
    <w:rsid w:val="003D1CA6"/>
    <w:rsid w:val="003D2178"/>
    <w:rsid w:val="003D2295"/>
    <w:rsid w:val="003D23A1"/>
    <w:rsid w:val="003D3AA5"/>
    <w:rsid w:val="003D3B9C"/>
    <w:rsid w:val="003D3C8F"/>
    <w:rsid w:val="003D3E0E"/>
    <w:rsid w:val="003D4691"/>
    <w:rsid w:val="003D4811"/>
    <w:rsid w:val="003D49D9"/>
    <w:rsid w:val="003D4A88"/>
    <w:rsid w:val="003D4FAF"/>
    <w:rsid w:val="003D6118"/>
    <w:rsid w:val="003D638D"/>
    <w:rsid w:val="003D6556"/>
    <w:rsid w:val="003D66A5"/>
    <w:rsid w:val="003D6954"/>
    <w:rsid w:val="003D6961"/>
    <w:rsid w:val="003D7904"/>
    <w:rsid w:val="003D7B9D"/>
    <w:rsid w:val="003D7C87"/>
    <w:rsid w:val="003D9889"/>
    <w:rsid w:val="003E005E"/>
    <w:rsid w:val="003E0AE9"/>
    <w:rsid w:val="003E0BCC"/>
    <w:rsid w:val="003E0F34"/>
    <w:rsid w:val="003E11D1"/>
    <w:rsid w:val="003E2791"/>
    <w:rsid w:val="003E3020"/>
    <w:rsid w:val="003E33A0"/>
    <w:rsid w:val="003E35FE"/>
    <w:rsid w:val="003E3BE1"/>
    <w:rsid w:val="003E4EE6"/>
    <w:rsid w:val="003E5245"/>
    <w:rsid w:val="003E55A3"/>
    <w:rsid w:val="003E5A4C"/>
    <w:rsid w:val="003E60E4"/>
    <w:rsid w:val="003E62F5"/>
    <w:rsid w:val="003E6605"/>
    <w:rsid w:val="003E6A57"/>
    <w:rsid w:val="003E6C59"/>
    <w:rsid w:val="003E6DA7"/>
    <w:rsid w:val="003E6EE9"/>
    <w:rsid w:val="003E6F8C"/>
    <w:rsid w:val="003E7B0D"/>
    <w:rsid w:val="003E7DCA"/>
    <w:rsid w:val="003E7F4F"/>
    <w:rsid w:val="003F0199"/>
    <w:rsid w:val="003F0409"/>
    <w:rsid w:val="003F0A13"/>
    <w:rsid w:val="003F1D03"/>
    <w:rsid w:val="003F1E6D"/>
    <w:rsid w:val="003F1F9A"/>
    <w:rsid w:val="003F2173"/>
    <w:rsid w:val="003F2B34"/>
    <w:rsid w:val="003F2BAD"/>
    <w:rsid w:val="003F2CCE"/>
    <w:rsid w:val="003F2FFB"/>
    <w:rsid w:val="003F3139"/>
    <w:rsid w:val="003F346A"/>
    <w:rsid w:val="003F448A"/>
    <w:rsid w:val="003F5245"/>
    <w:rsid w:val="003F56A0"/>
    <w:rsid w:val="003F5E31"/>
    <w:rsid w:val="003F61AF"/>
    <w:rsid w:val="003F6438"/>
    <w:rsid w:val="003F6BAE"/>
    <w:rsid w:val="003F7231"/>
    <w:rsid w:val="003F7780"/>
    <w:rsid w:val="003F7AD7"/>
    <w:rsid w:val="003F7F74"/>
    <w:rsid w:val="00400375"/>
    <w:rsid w:val="00400485"/>
    <w:rsid w:val="004004E2"/>
    <w:rsid w:val="00400B54"/>
    <w:rsid w:val="00400E1C"/>
    <w:rsid w:val="004014E8"/>
    <w:rsid w:val="0040162C"/>
    <w:rsid w:val="00401676"/>
    <w:rsid w:val="0040174B"/>
    <w:rsid w:val="00401BEB"/>
    <w:rsid w:val="00401D30"/>
    <w:rsid w:val="00402055"/>
    <w:rsid w:val="004021C6"/>
    <w:rsid w:val="0040238F"/>
    <w:rsid w:val="00402D30"/>
    <w:rsid w:val="00402EBD"/>
    <w:rsid w:val="00402FEE"/>
    <w:rsid w:val="00403098"/>
    <w:rsid w:val="004030F6"/>
    <w:rsid w:val="00403182"/>
    <w:rsid w:val="00403F6E"/>
    <w:rsid w:val="00404269"/>
    <w:rsid w:val="00404EB0"/>
    <w:rsid w:val="00405DC3"/>
    <w:rsid w:val="00405EFA"/>
    <w:rsid w:val="0040648D"/>
    <w:rsid w:val="004071B9"/>
    <w:rsid w:val="004074A4"/>
    <w:rsid w:val="00407A18"/>
    <w:rsid w:val="00407F52"/>
    <w:rsid w:val="004103B2"/>
    <w:rsid w:val="00410B4B"/>
    <w:rsid w:val="00410DA5"/>
    <w:rsid w:val="004111CD"/>
    <w:rsid w:val="004113FD"/>
    <w:rsid w:val="0041196B"/>
    <w:rsid w:val="00411A0A"/>
    <w:rsid w:val="0041247A"/>
    <w:rsid w:val="0041248E"/>
    <w:rsid w:val="00412914"/>
    <w:rsid w:val="00412E77"/>
    <w:rsid w:val="00412E85"/>
    <w:rsid w:val="0041318C"/>
    <w:rsid w:val="004135A2"/>
    <w:rsid w:val="004135DD"/>
    <w:rsid w:val="00413818"/>
    <w:rsid w:val="00413C4F"/>
    <w:rsid w:val="0041485A"/>
    <w:rsid w:val="00414B47"/>
    <w:rsid w:val="00414F0D"/>
    <w:rsid w:val="00415A0D"/>
    <w:rsid w:val="00415AAB"/>
    <w:rsid w:val="00415F7E"/>
    <w:rsid w:val="00416530"/>
    <w:rsid w:val="004169D3"/>
    <w:rsid w:val="00416B0E"/>
    <w:rsid w:val="00416B5C"/>
    <w:rsid w:val="00416E6C"/>
    <w:rsid w:val="00417279"/>
    <w:rsid w:val="00417633"/>
    <w:rsid w:val="0041774A"/>
    <w:rsid w:val="004178ED"/>
    <w:rsid w:val="0041793F"/>
    <w:rsid w:val="00417ECD"/>
    <w:rsid w:val="0042024C"/>
    <w:rsid w:val="00420657"/>
    <w:rsid w:val="0042077E"/>
    <w:rsid w:val="00420E20"/>
    <w:rsid w:val="00421008"/>
    <w:rsid w:val="0042121C"/>
    <w:rsid w:val="00421230"/>
    <w:rsid w:val="004215C9"/>
    <w:rsid w:val="004223DB"/>
    <w:rsid w:val="00422502"/>
    <w:rsid w:val="004229B5"/>
    <w:rsid w:val="00422FFC"/>
    <w:rsid w:val="00423B0E"/>
    <w:rsid w:val="00423C48"/>
    <w:rsid w:val="00424134"/>
    <w:rsid w:val="00424E3F"/>
    <w:rsid w:val="00424F66"/>
    <w:rsid w:val="00424F96"/>
    <w:rsid w:val="00425268"/>
    <w:rsid w:val="00425E81"/>
    <w:rsid w:val="0042634C"/>
    <w:rsid w:val="0042660A"/>
    <w:rsid w:val="0042695F"/>
    <w:rsid w:val="00426ABE"/>
    <w:rsid w:val="00426AD5"/>
    <w:rsid w:val="004271F5"/>
    <w:rsid w:val="00427286"/>
    <w:rsid w:val="00427B65"/>
    <w:rsid w:val="00430187"/>
    <w:rsid w:val="004302BA"/>
    <w:rsid w:val="00430883"/>
    <w:rsid w:val="00430A69"/>
    <w:rsid w:val="00430B88"/>
    <w:rsid w:val="00430EE9"/>
    <w:rsid w:val="0043150A"/>
    <w:rsid w:val="004319AD"/>
    <w:rsid w:val="00431C3B"/>
    <w:rsid w:val="00431C99"/>
    <w:rsid w:val="00431CE7"/>
    <w:rsid w:val="00432057"/>
    <w:rsid w:val="00432355"/>
    <w:rsid w:val="004323B7"/>
    <w:rsid w:val="004327F5"/>
    <w:rsid w:val="00432888"/>
    <w:rsid w:val="0043290F"/>
    <w:rsid w:val="00432B94"/>
    <w:rsid w:val="004330FC"/>
    <w:rsid w:val="00433C24"/>
    <w:rsid w:val="00433F9E"/>
    <w:rsid w:val="00434324"/>
    <w:rsid w:val="004346B1"/>
    <w:rsid w:val="004354B0"/>
    <w:rsid w:val="004356B4"/>
    <w:rsid w:val="00435B58"/>
    <w:rsid w:val="0043620C"/>
    <w:rsid w:val="004368FB"/>
    <w:rsid w:val="00437344"/>
    <w:rsid w:val="0043746A"/>
    <w:rsid w:val="004374EB"/>
    <w:rsid w:val="00437E75"/>
    <w:rsid w:val="004405F6"/>
    <w:rsid w:val="0044069A"/>
    <w:rsid w:val="004406A3"/>
    <w:rsid w:val="004408AF"/>
    <w:rsid w:val="00440F07"/>
    <w:rsid w:val="00441396"/>
    <w:rsid w:val="00441559"/>
    <w:rsid w:val="0044242C"/>
    <w:rsid w:val="00443A5B"/>
    <w:rsid w:val="00443BE6"/>
    <w:rsid w:val="00443EF6"/>
    <w:rsid w:val="00443F51"/>
    <w:rsid w:val="0044429F"/>
    <w:rsid w:val="004446C6"/>
    <w:rsid w:val="00445060"/>
    <w:rsid w:val="00445355"/>
    <w:rsid w:val="00445586"/>
    <w:rsid w:val="00445711"/>
    <w:rsid w:val="0044578D"/>
    <w:rsid w:val="00445CB2"/>
    <w:rsid w:val="00445F49"/>
    <w:rsid w:val="00445FAD"/>
    <w:rsid w:val="004460BF"/>
    <w:rsid w:val="004464FA"/>
    <w:rsid w:val="00446C4C"/>
    <w:rsid w:val="00446FE5"/>
    <w:rsid w:val="0044777F"/>
    <w:rsid w:val="0045082E"/>
    <w:rsid w:val="00450FA7"/>
    <w:rsid w:val="004518F0"/>
    <w:rsid w:val="00451C2A"/>
    <w:rsid w:val="00451E2A"/>
    <w:rsid w:val="004522B1"/>
    <w:rsid w:val="004525E4"/>
    <w:rsid w:val="00452662"/>
    <w:rsid w:val="00453E66"/>
    <w:rsid w:val="00453E79"/>
    <w:rsid w:val="004548A4"/>
    <w:rsid w:val="004549D7"/>
    <w:rsid w:val="00454F68"/>
    <w:rsid w:val="004552D9"/>
    <w:rsid w:val="004553B9"/>
    <w:rsid w:val="004553DD"/>
    <w:rsid w:val="00455417"/>
    <w:rsid w:val="00455559"/>
    <w:rsid w:val="00455D77"/>
    <w:rsid w:val="004564A8"/>
    <w:rsid w:val="00456525"/>
    <w:rsid w:val="004565BA"/>
    <w:rsid w:val="00456FE7"/>
    <w:rsid w:val="0045732E"/>
    <w:rsid w:val="004573FF"/>
    <w:rsid w:val="0045773D"/>
    <w:rsid w:val="004579C7"/>
    <w:rsid w:val="00457C29"/>
    <w:rsid w:val="00457DC3"/>
    <w:rsid w:val="00460018"/>
    <w:rsid w:val="00460296"/>
    <w:rsid w:val="004604CF"/>
    <w:rsid w:val="00460A10"/>
    <w:rsid w:val="00460F83"/>
    <w:rsid w:val="00461B90"/>
    <w:rsid w:val="0046236F"/>
    <w:rsid w:val="004632BC"/>
    <w:rsid w:val="00463558"/>
    <w:rsid w:val="00463831"/>
    <w:rsid w:val="00463857"/>
    <w:rsid w:val="00463A1A"/>
    <w:rsid w:val="00463B53"/>
    <w:rsid w:val="00464C6F"/>
    <w:rsid w:val="00464CAF"/>
    <w:rsid w:val="00464D47"/>
    <w:rsid w:val="00465B36"/>
    <w:rsid w:val="0046608D"/>
    <w:rsid w:val="004666C6"/>
    <w:rsid w:val="00466F9E"/>
    <w:rsid w:val="00467B6E"/>
    <w:rsid w:val="004700FB"/>
    <w:rsid w:val="004703D4"/>
    <w:rsid w:val="00470465"/>
    <w:rsid w:val="0047094E"/>
    <w:rsid w:val="00471542"/>
    <w:rsid w:val="004716DE"/>
    <w:rsid w:val="004717EE"/>
    <w:rsid w:val="00471B5C"/>
    <w:rsid w:val="00471F1E"/>
    <w:rsid w:val="00472C4C"/>
    <w:rsid w:val="0047324A"/>
    <w:rsid w:val="004738D5"/>
    <w:rsid w:val="004738FF"/>
    <w:rsid w:val="00473FE7"/>
    <w:rsid w:val="0047428C"/>
    <w:rsid w:val="00474506"/>
    <w:rsid w:val="00474690"/>
    <w:rsid w:val="00474766"/>
    <w:rsid w:val="004749AE"/>
    <w:rsid w:val="00474AD8"/>
    <w:rsid w:val="00474F41"/>
    <w:rsid w:val="00475013"/>
    <w:rsid w:val="00475BCA"/>
    <w:rsid w:val="00476468"/>
    <w:rsid w:val="004767BD"/>
    <w:rsid w:val="00476832"/>
    <w:rsid w:val="00476D61"/>
    <w:rsid w:val="00476EF6"/>
    <w:rsid w:val="004773A1"/>
    <w:rsid w:val="0047742E"/>
    <w:rsid w:val="004774BD"/>
    <w:rsid w:val="004779CB"/>
    <w:rsid w:val="004779E6"/>
    <w:rsid w:val="00477C1F"/>
    <w:rsid w:val="00477D13"/>
    <w:rsid w:val="00480004"/>
    <w:rsid w:val="0048065B"/>
    <w:rsid w:val="004810E3"/>
    <w:rsid w:val="004816EB"/>
    <w:rsid w:val="004817F4"/>
    <w:rsid w:val="0048192D"/>
    <w:rsid w:val="00481D5E"/>
    <w:rsid w:val="004828A0"/>
    <w:rsid w:val="00482AD1"/>
    <w:rsid w:val="004830D1"/>
    <w:rsid w:val="00483717"/>
    <w:rsid w:val="004837CD"/>
    <w:rsid w:val="00484503"/>
    <w:rsid w:val="0048533B"/>
    <w:rsid w:val="00485428"/>
    <w:rsid w:val="00485970"/>
    <w:rsid w:val="00485ADC"/>
    <w:rsid w:val="0048609B"/>
    <w:rsid w:val="0048613C"/>
    <w:rsid w:val="00486D7B"/>
    <w:rsid w:val="00487CF5"/>
    <w:rsid w:val="00487E2D"/>
    <w:rsid w:val="00487E70"/>
    <w:rsid w:val="00490050"/>
    <w:rsid w:val="004902DF"/>
    <w:rsid w:val="004906DE"/>
    <w:rsid w:val="00490817"/>
    <w:rsid w:val="00490A74"/>
    <w:rsid w:val="00491454"/>
    <w:rsid w:val="0049212A"/>
    <w:rsid w:val="00492BE7"/>
    <w:rsid w:val="00493E46"/>
    <w:rsid w:val="00494E95"/>
    <w:rsid w:val="004953C9"/>
    <w:rsid w:val="00495484"/>
    <w:rsid w:val="004956F2"/>
    <w:rsid w:val="00495C6F"/>
    <w:rsid w:val="00495D2F"/>
    <w:rsid w:val="004963F3"/>
    <w:rsid w:val="00496796"/>
    <w:rsid w:val="00496DF6"/>
    <w:rsid w:val="00496F52"/>
    <w:rsid w:val="004972A2"/>
    <w:rsid w:val="004979AE"/>
    <w:rsid w:val="00497D0F"/>
    <w:rsid w:val="004A07B6"/>
    <w:rsid w:val="004A0C3C"/>
    <w:rsid w:val="004A0E33"/>
    <w:rsid w:val="004A11D1"/>
    <w:rsid w:val="004A1F3E"/>
    <w:rsid w:val="004A22BF"/>
    <w:rsid w:val="004A22EA"/>
    <w:rsid w:val="004A23ED"/>
    <w:rsid w:val="004A246F"/>
    <w:rsid w:val="004A274A"/>
    <w:rsid w:val="004A28AD"/>
    <w:rsid w:val="004A2971"/>
    <w:rsid w:val="004A2994"/>
    <w:rsid w:val="004A2D45"/>
    <w:rsid w:val="004A3621"/>
    <w:rsid w:val="004A394A"/>
    <w:rsid w:val="004A42FF"/>
    <w:rsid w:val="004A4468"/>
    <w:rsid w:val="004A46E8"/>
    <w:rsid w:val="004A54F0"/>
    <w:rsid w:val="004A5917"/>
    <w:rsid w:val="004A5C6E"/>
    <w:rsid w:val="004A6BDA"/>
    <w:rsid w:val="004A6F7A"/>
    <w:rsid w:val="004A705D"/>
    <w:rsid w:val="004A7082"/>
    <w:rsid w:val="004A79A9"/>
    <w:rsid w:val="004A7C1E"/>
    <w:rsid w:val="004B03BC"/>
    <w:rsid w:val="004B0D26"/>
    <w:rsid w:val="004B1410"/>
    <w:rsid w:val="004B1820"/>
    <w:rsid w:val="004B1A16"/>
    <w:rsid w:val="004B1A81"/>
    <w:rsid w:val="004B1AC1"/>
    <w:rsid w:val="004B1C58"/>
    <w:rsid w:val="004B1C94"/>
    <w:rsid w:val="004B1FD2"/>
    <w:rsid w:val="004B27CE"/>
    <w:rsid w:val="004B2DD3"/>
    <w:rsid w:val="004B2FF3"/>
    <w:rsid w:val="004B3789"/>
    <w:rsid w:val="004B4155"/>
    <w:rsid w:val="004B4487"/>
    <w:rsid w:val="004B4DC0"/>
    <w:rsid w:val="004B4FAC"/>
    <w:rsid w:val="004B56B7"/>
    <w:rsid w:val="004B60E6"/>
    <w:rsid w:val="004B63A6"/>
    <w:rsid w:val="004B64FD"/>
    <w:rsid w:val="004B6ABB"/>
    <w:rsid w:val="004B6DF6"/>
    <w:rsid w:val="004B6F49"/>
    <w:rsid w:val="004B72B5"/>
    <w:rsid w:val="004B74A2"/>
    <w:rsid w:val="004B7623"/>
    <w:rsid w:val="004B77A0"/>
    <w:rsid w:val="004B77DF"/>
    <w:rsid w:val="004B7B13"/>
    <w:rsid w:val="004B7DC5"/>
    <w:rsid w:val="004C095C"/>
    <w:rsid w:val="004C173E"/>
    <w:rsid w:val="004C18D3"/>
    <w:rsid w:val="004C1A87"/>
    <w:rsid w:val="004C1D96"/>
    <w:rsid w:val="004C2144"/>
    <w:rsid w:val="004C26D8"/>
    <w:rsid w:val="004C33D2"/>
    <w:rsid w:val="004C349C"/>
    <w:rsid w:val="004C3AFD"/>
    <w:rsid w:val="004C3BA0"/>
    <w:rsid w:val="004C47E0"/>
    <w:rsid w:val="004C4E18"/>
    <w:rsid w:val="004C4F5D"/>
    <w:rsid w:val="004C52F3"/>
    <w:rsid w:val="004C5C91"/>
    <w:rsid w:val="004C624C"/>
    <w:rsid w:val="004C6B85"/>
    <w:rsid w:val="004C762A"/>
    <w:rsid w:val="004C7D80"/>
    <w:rsid w:val="004D0417"/>
    <w:rsid w:val="004D05DC"/>
    <w:rsid w:val="004D0C2F"/>
    <w:rsid w:val="004D10B0"/>
    <w:rsid w:val="004D15F0"/>
    <w:rsid w:val="004D1BE8"/>
    <w:rsid w:val="004D26A8"/>
    <w:rsid w:val="004D274A"/>
    <w:rsid w:val="004D2B0B"/>
    <w:rsid w:val="004D358A"/>
    <w:rsid w:val="004D37FF"/>
    <w:rsid w:val="004D39B0"/>
    <w:rsid w:val="004D3AF8"/>
    <w:rsid w:val="004D3F3B"/>
    <w:rsid w:val="004D45E3"/>
    <w:rsid w:val="004D479F"/>
    <w:rsid w:val="004D4A0B"/>
    <w:rsid w:val="004D4BE4"/>
    <w:rsid w:val="004D4F8C"/>
    <w:rsid w:val="004D58D1"/>
    <w:rsid w:val="004D5980"/>
    <w:rsid w:val="004D5F83"/>
    <w:rsid w:val="004D6087"/>
    <w:rsid w:val="004D6138"/>
    <w:rsid w:val="004D69DD"/>
    <w:rsid w:val="004D6E3A"/>
    <w:rsid w:val="004D740F"/>
    <w:rsid w:val="004D74F3"/>
    <w:rsid w:val="004D784A"/>
    <w:rsid w:val="004E006A"/>
    <w:rsid w:val="004E0480"/>
    <w:rsid w:val="004E1134"/>
    <w:rsid w:val="004E1342"/>
    <w:rsid w:val="004E13CA"/>
    <w:rsid w:val="004E1A79"/>
    <w:rsid w:val="004E1A89"/>
    <w:rsid w:val="004E1E95"/>
    <w:rsid w:val="004E1F9C"/>
    <w:rsid w:val="004E29B3"/>
    <w:rsid w:val="004E2CEC"/>
    <w:rsid w:val="004E2D36"/>
    <w:rsid w:val="004E3536"/>
    <w:rsid w:val="004E355F"/>
    <w:rsid w:val="004E3605"/>
    <w:rsid w:val="004E36E6"/>
    <w:rsid w:val="004E3742"/>
    <w:rsid w:val="004E3893"/>
    <w:rsid w:val="004E448C"/>
    <w:rsid w:val="004E4538"/>
    <w:rsid w:val="004E45FF"/>
    <w:rsid w:val="004E528A"/>
    <w:rsid w:val="004E5357"/>
    <w:rsid w:val="004E5480"/>
    <w:rsid w:val="004E5B7D"/>
    <w:rsid w:val="004E5CCF"/>
    <w:rsid w:val="004E6434"/>
    <w:rsid w:val="004E6507"/>
    <w:rsid w:val="004E6634"/>
    <w:rsid w:val="004E67BA"/>
    <w:rsid w:val="004E76DA"/>
    <w:rsid w:val="004E772F"/>
    <w:rsid w:val="004F01CD"/>
    <w:rsid w:val="004F0303"/>
    <w:rsid w:val="004F08AA"/>
    <w:rsid w:val="004F09BD"/>
    <w:rsid w:val="004F0A84"/>
    <w:rsid w:val="004F13DE"/>
    <w:rsid w:val="004F1898"/>
    <w:rsid w:val="004F1B7B"/>
    <w:rsid w:val="004F25DB"/>
    <w:rsid w:val="004F2EEF"/>
    <w:rsid w:val="004F2F71"/>
    <w:rsid w:val="004F3250"/>
    <w:rsid w:val="004F38DD"/>
    <w:rsid w:val="004F3A70"/>
    <w:rsid w:val="004F4246"/>
    <w:rsid w:val="004F4845"/>
    <w:rsid w:val="004F4A92"/>
    <w:rsid w:val="004F4F0C"/>
    <w:rsid w:val="004F5248"/>
    <w:rsid w:val="004F6119"/>
    <w:rsid w:val="004F664F"/>
    <w:rsid w:val="004F6746"/>
    <w:rsid w:val="004F6C05"/>
    <w:rsid w:val="004F71AC"/>
    <w:rsid w:val="004F7201"/>
    <w:rsid w:val="004F785F"/>
    <w:rsid w:val="004F78A0"/>
    <w:rsid w:val="004F7DC8"/>
    <w:rsid w:val="005002B6"/>
    <w:rsid w:val="0050049C"/>
    <w:rsid w:val="00500742"/>
    <w:rsid w:val="005008A0"/>
    <w:rsid w:val="00500DA7"/>
    <w:rsid w:val="0050134F"/>
    <w:rsid w:val="00501BE3"/>
    <w:rsid w:val="005024A6"/>
    <w:rsid w:val="005026F5"/>
    <w:rsid w:val="00503361"/>
    <w:rsid w:val="00503510"/>
    <w:rsid w:val="00503B17"/>
    <w:rsid w:val="005041DB"/>
    <w:rsid w:val="00504ACE"/>
    <w:rsid w:val="00504FCF"/>
    <w:rsid w:val="00506059"/>
    <w:rsid w:val="0050615B"/>
    <w:rsid w:val="005068EB"/>
    <w:rsid w:val="00506C06"/>
    <w:rsid w:val="00506D6B"/>
    <w:rsid w:val="00507250"/>
    <w:rsid w:val="00507661"/>
    <w:rsid w:val="00507DFC"/>
    <w:rsid w:val="00510DFF"/>
    <w:rsid w:val="00511A99"/>
    <w:rsid w:val="005124F0"/>
    <w:rsid w:val="00512BF0"/>
    <w:rsid w:val="00513485"/>
    <w:rsid w:val="0051374F"/>
    <w:rsid w:val="005137D4"/>
    <w:rsid w:val="00513C9E"/>
    <w:rsid w:val="005145F2"/>
    <w:rsid w:val="00514F45"/>
    <w:rsid w:val="0051505F"/>
    <w:rsid w:val="00515444"/>
    <w:rsid w:val="005155AF"/>
    <w:rsid w:val="0051560B"/>
    <w:rsid w:val="0051564B"/>
    <w:rsid w:val="00515960"/>
    <w:rsid w:val="005159FD"/>
    <w:rsid w:val="00515EDB"/>
    <w:rsid w:val="005163F5"/>
    <w:rsid w:val="00516EE0"/>
    <w:rsid w:val="00517A73"/>
    <w:rsid w:val="00517D27"/>
    <w:rsid w:val="00520024"/>
    <w:rsid w:val="00520726"/>
    <w:rsid w:val="005210BA"/>
    <w:rsid w:val="00521721"/>
    <w:rsid w:val="005217F5"/>
    <w:rsid w:val="00522287"/>
    <w:rsid w:val="00522416"/>
    <w:rsid w:val="00522558"/>
    <w:rsid w:val="005226DA"/>
    <w:rsid w:val="00523CC7"/>
    <w:rsid w:val="00524326"/>
    <w:rsid w:val="0052464B"/>
    <w:rsid w:val="005248A0"/>
    <w:rsid w:val="00524CC9"/>
    <w:rsid w:val="005253D2"/>
    <w:rsid w:val="00525835"/>
    <w:rsid w:val="00525A50"/>
    <w:rsid w:val="00525B45"/>
    <w:rsid w:val="00526457"/>
    <w:rsid w:val="005264CB"/>
    <w:rsid w:val="0052677F"/>
    <w:rsid w:val="00526B9A"/>
    <w:rsid w:val="00527023"/>
    <w:rsid w:val="005271EF"/>
    <w:rsid w:val="00527E4B"/>
    <w:rsid w:val="00530C28"/>
    <w:rsid w:val="00532380"/>
    <w:rsid w:val="005327BE"/>
    <w:rsid w:val="00532D94"/>
    <w:rsid w:val="00533420"/>
    <w:rsid w:val="005335A6"/>
    <w:rsid w:val="0053380C"/>
    <w:rsid w:val="00533DDA"/>
    <w:rsid w:val="00534978"/>
    <w:rsid w:val="005359B7"/>
    <w:rsid w:val="00535C01"/>
    <w:rsid w:val="00535C4F"/>
    <w:rsid w:val="00535F68"/>
    <w:rsid w:val="005369AD"/>
    <w:rsid w:val="00536B3F"/>
    <w:rsid w:val="0053737B"/>
    <w:rsid w:val="005373F6"/>
    <w:rsid w:val="005375D6"/>
    <w:rsid w:val="00537861"/>
    <w:rsid w:val="00537A0F"/>
    <w:rsid w:val="00537A28"/>
    <w:rsid w:val="00537E44"/>
    <w:rsid w:val="0054005B"/>
    <w:rsid w:val="00540075"/>
    <w:rsid w:val="00540168"/>
    <w:rsid w:val="0054045F"/>
    <w:rsid w:val="00540671"/>
    <w:rsid w:val="00540AE8"/>
    <w:rsid w:val="00540D53"/>
    <w:rsid w:val="005417E8"/>
    <w:rsid w:val="005422C2"/>
    <w:rsid w:val="00542B24"/>
    <w:rsid w:val="005432E2"/>
    <w:rsid w:val="005435A0"/>
    <w:rsid w:val="00544A7E"/>
    <w:rsid w:val="00545753"/>
    <w:rsid w:val="00545778"/>
    <w:rsid w:val="005457FF"/>
    <w:rsid w:val="00545BB3"/>
    <w:rsid w:val="00545DD9"/>
    <w:rsid w:val="00545DF1"/>
    <w:rsid w:val="00546371"/>
    <w:rsid w:val="00546443"/>
    <w:rsid w:val="005466B7"/>
    <w:rsid w:val="00546C6F"/>
    <w:rsid w:val="0054710C"/>
    <w:rsid w:val="005475BC"/>
    <w:rsid w:val="00547706"/>
    <w:rsid w:val="005479F6"/>
    <w:rsid w:val="00547FC6"/>
    <w:rsid w:val="00550128"/>
    <w:rsid w:val="00550315"/>
    <w:rsid w:val="005513A1"/>
    <w:rsid w:val="0055187A"/>
    <w:rsid w:val="00551B89"/>
    <w:rsid w:val="00551B9A"/>
    <w:rsid w:val="00551C9C"/>
    <w:rsid w:val="0055353B"/>
    <w:rsid w:val="00553792"/>
    <w:rsid w:val="00553AE5"/>
    <w:rsid w:val="00553F7B"/>
    <w:rsid w:val="0055420C"/>
    <w:rsid w:val="00554517"/>
    <w:rsid w:val="0055485A"/>
    <w:rsid w:val="00554CF9"/>
    <w:rsid w:val="0055518D"/>
    <w:rsid w:val="00555751"/>
    <w:rsid w:val="005559BD"/>
    <w:rsid w:val="00555D82"/>
    <w:rsid w:val="005562BB"/>
    <w:rsid w:val="005569DC"/>
    <w:rsid w:val="00556B68"/>
    <w:rsid w:val="00556CC4"/>
    <w:rsid w:val="00556E1B"/>
    <w:rsid w:val="005570CA"/>
    <w:rsid w:val="0055773A"/>
    <w:rsid w:val="00557846"/>
    <w:rsid w:val="00557B62"/>
    <w:rsid w:val="005600D5"/>
    <w:rsid w:val="00560647"/>
    <w:rsid w:val="005620D0"/>
    <w:rsid w:val="005622E7"/>
    <w:rsid w:val="00562349"/>
    <w:rsid w:val="005640D7"/>
    <w:rsid w:val="005645E0"/>
    <w:rsid w:val="00564676"/>
    <w:rsid w:val="0056530F"/>
    <w:rsid w:val="00565681"/>
    <w:rsid w:val="005658EE"/>
    <w:rsid w:val="00565F3F"/>
    <w:rsid w:val="00566A9C"/>
    <w:rsid w:val="0056716E"/>
    <w:rsid w:val="00567397"/>
    <w:rsid w:val="005673B8"/>
    <w:rsid w:val="0056741D"/>
    <w:rsid w:val="00567530"/>
    <w:rsid w:val="0056779F"/>
    <w:rsid w:val="005678BE"/>
    <w:rsid w:val="00567ADD"/>
    <w:rsid w:val="00570278"/>
    <w:rsid w:val="005702AC"/>
    <w:rsid w:val="00570365"/>
    <w:rsid w:val="005703A4"/>
    <w:rsid w:val="00570DE5"/>
    <w:rsid w:val="0057109D"/>
    <w:rsid w:val="0057111D"/>
    <w:rsid w:val="0057148C"/>
    <w:rsid w:val="00571A61"/>
    <w:rsid w:val="00571B50"/>
    <w:rsid w:val="00571B52"/>
    <w:rsid w:val="00571CF5"/>
    <w:rsid w:val="005723C6"/>
    <w:rsid w:val="00572472"/>
    <w:rsid w:val="00572541"/>
    <w:rsid w:val="005726E5"/>
    <w:rsid w:val="00573522"/>
    <w:rsid w:val="00573A34"/>
    <w:rsid w:val="005746BB"/>
    <w:rsid w:val="00574B7E"/>
    <w:rsid w:val="00574F92"/>
    <w:rsid w:val="00574FA2"/>
    <w:rsid w:val="00574FF6"/>
    <w:rsid w:val="00575305"/>
    <w:rsid w:val="0057582A"/>
    <w:rsid w:val="0057672B"/>
    <w:rsid w:val="00576C6D"/>
    <w:rsid w:val="00576DBF"/>
    <w:rsid w:val="00577256"/>
    <w:rsid w:val="00577629"/>
    <w:rsid w:val="005779A5"/>
    <w:rsid w:val="00580123"/>
    <w:rsid w:val="00580135"/>
    <w:rsid w:val="005803E9"/>
    <w:rsid w:val="00580701"/>
    <w:rsid w:val="00580760"/>
    <w:rsid w:val="00580D0A"/>
    <w:rsid w:val="00580D0F"/>
    <w:rsid w:val="005819BE"/>
    <w:rsid w:val="00581DE8"/>
    <w:rsid w:val="00582198"/>
    <w:rsid w:val="00582206"/>
    <w:rsid w:val="005822BC"/>
    <w:rsid w:val="005822EB"/>
    <w:rsid w:val="0058260A"/>
    <w:rsid w:val="00583631"/>
    <w:rsid w:val="0058371B"/>
    <w:rsid w:val="0058385C"/>
    <w:rsid w:val="00583F91"/>
    <w:rsid w:val="005842BE"/>
    <w:rsid w:val="005848C2"/>
    <w:rsid w:val="005852FD"/>
    <w:rsid w:val="00585C38"/>
    <w:rsid w:val="00585DD2"/>
    <w:rsid w:val="00586284"/>
    <w:rsid w:val="005865F8"/>
    <w:rsid w:val="0058686D"/>
    <w:rsid w:val="005871C9"/>
    <w:rsid w:val="0058752A"/>
    <w:rsid w:val="005875A6"/>
    <w:rsid w:val="0058790B"/>
    <w:rsid w:val="005902C7"/>
    <w:rsid w:val="005905AA"/>
    <w:rsid w:val="00590A7E"/>
    <w:rsid w:val="00591523"/>
    <w:rsid w:val="00592203"/>
    <w:rsid w:val="00592447"/>
    <w:rsid w:val="0059248F"/>
    <w:rsid w:val="005927F6"/>
    <w:rsid w:val="00593D44"/>
    <w:rsid w:val="005944D9"/>
    <w:rsid w:val="00594F78"/>
    <w:rsid w:val="00595067"/>
    <w:rsid w:val="005953CE"/>
    <w:rsid w:val="00595679"/>
    <w:rsid w:val="0059590A"/>
    <w:rsid w:val="00595ACF"/>
    <w:rsid w:val="00595B4B"/>
    <w:rsid w:val="00595C55"/>
    <w:rsid w:val="0059649E"/>
    <w:rsid w:val="00596804"/>
    <w:rsid w:val="00596C0A"/>
    <w:rsid w:val="005970F0"/>
    <w:rsid w:val="0059755F"/>
    <w:rsid w:val="005979ED"/>
    <w:rsid w:val="00597BB3"/>
    <w:rsid w:val="00597D6F"/>
    <w:rsid w:val="005A0076"/>
    <w:rsid w:val="005A00D8"/>
    <w:rsid w:val="005A04BC"/>
    <w:rsid w:val="005A0717"/>
    <w:rsid w:val="005A0D95"/>
    <w:rsid w:val="005A10CC"/>
    <w:rsid w:val="005A1951"/>
    <w:rsid w:val="005A21DD"/>
    <w:rsid w:val="005A2BBB"/>
    <w:rsid w:val="005A2D01"/>
    <w:rsid w:val="005A2D2B"/>
    <w:rsid w:val="005A3B79"/>
    <w:rsid w:val="005A3C14"/>
    <w:rsid w:val="005A40C2"/>
    <w:rsid w:val="005A417F"/>
    <w:rsid w:val="005A42BA"/>
    <w:rsid w:val="005A471B"/>
    <w:rsid w:val="005A484F"/>
    <w:rsid w:val="005A4A25"/>
    <w:rsid w:val="005A4D2E"/>
    <w:rsid w:val="005A4F3C"/>
    <w:rsid w:val="005A4FD7"/>
    <w:rsid w:val="005A5574"/>
    <w:rsid w:val="005A55BF"/>
    <w:rsid w:val="005A5923"/>
    <w:rsid w:val="005A5D4D"/>
    <w:rsid w:val="005A6775"/>
    <w:rsid w:val="005A6C69"/>
    <w:rsid w:val="005A6DBB"/>
    <w:rsid w:val="005A6FE3"/>
    <w:rsid w:val="005A7182"/>
    <w:rsid w:val="005A777D"/>
    <w:rsid w:val="005A79BE"/>
    <w:rsid w:val="005B05C5"/>
    <w:rsid w:val="005B0CD4"/>
    <w:rsid w:val="005B1AB0"/>
    <w:rsid w:val="005B1CD0"/>
    <w:rsid w:val="005B20B9"/>
    <w:rsid w:val="005B21AC"/>
    <w:rsid w:val="005B2205"/>
    <w:rsid w:val="005B2489"/>
    <w:rsid w:val="005B2B16"/>
    <w:rsid w:val="005B3813"/>
    <w:rsid w:val="005B4196"/>
    <w:rsid w:val="005B4542"/>
    <w:rsid w:val="005B469F"/>
    <w:rsid w:val="005B47E2"/>
    <w:rsid w:val="005B482E"/>
    <w:rsid w:val="005B58A0"/>
    <w:rsid w:val="005B5E4F"/>
    <w:rsid w:val="005B6212"/>
    <w:rsid w:val="005B6CAF"/>
    <w:rsid w:val="005B709A"/>
    <w:rsid w:val="005B7CC4"/>
    <w:rsid w:val="005C1722"/>
    <w:rsid w:val="005C1726"/>
    <w:rsid w:val="005C173C"/>
    <w:rsid w:val="005C2179"/>
    <w:rsid w:val="005C23B4"/>
    <w:rsid w:val="005C304C"/>
    <w:rsid w:val="005C3A95"/>
    <w:rsid w:val="005C3CE0"/>
    <w:rsid w:val="005C3F91"/>
    <w:rsid w:val="005C41CB"/>
    <w:rsid w:val="005C4EB6"/>
    <w:rsid w:val="005C52F1"/>
    <w:rsid w:val="005C5DC1"/>
    <w:rsid w:val="005C5F07"/>
    <w:rsid w:val="005C6065"/>
    <w:rsid w:val="005C6515"/>
    <w:rsid w:val="005C6534"/>
    <w:rsid w:val="005C6545"/>
    <w:rsid w:val="005C6653"/>
    <w:rsid w:val="005C6F88"/>
    <w:rsid w:val="005C7221"/>
    <w:rsid w:val="005C7367"/>
    <w:rsid w:val="005C7D34"/>
    <w:rsid w:val="005D06E2"/>
    <w:rsid w:val="005D0A37"/>
    <w:rsid w:val="005D0EA3"/>
    <w:rsid w:val="005D0FFD"/>
    <w:rsid w:val="005D191D"/>
    <w:rsid w:val="005D1C84"/>
    <w:rsid w:val="005D1FCD"/>
    <w:rsid w:val="005D20C7"/>
    <w:rsid w:val="005D2D90"/>
    <w:rsid w:val="005D3386"/>
    <w:rsid w:val="005D36BE"/>
    <w:rsid w:val="005D372D"/>
    <w:rsid w:val="005D3B0B"/>
    <w:rsid w:val="005D3E20"/>
    <w:rsid w:val="005D46E3"/>
    <w:rsid w:val="005D46E6"/>
    <w:rsid w:val="005D4C4A"/>
    <w:rsid w:val="005D5471"/>
    <w:rsid w:val="005D5621"/>
    <w:rsid w:val="005D5B93"/>
    <w:rsid w:val="005D5ECE"/>
    <w:rsid w:val="005D5F94"/>
    <w:rsid w:val="005D629A"/>
    <w:rsid w:val="005D721C"/>
    <w:rsid w:val="005D7222"/>
    <w:rsid w:val="005D7403"/>
    <w:rsid w:val="005D7497"/>
    <w:rsid w:val="005D7652"/>
    <w:rsid w:val="005D782C"/>
    <w:rsid w:val="005D783F"/>
    <w:rsid w:val="005D7BE0"/>
    <w:rsid w:val="005D7EC6"/>
    <w:rsid w:val="005D7EE1"/>
    <w:rsid w:val="005E0022"/>
    <w:rsid w:val="005E03A4"/>
    <w:rsid w:val="005E09B7"/>
    <w:rsid w:val="005E0F07"/>
    <w:rsid w:val="005E0F60"/>
    <w:rsid w:val="005E13FC"/>
    <w:rsid w:val="005E142B"/>
    <w:rsid w:val="005E176E"/>
    <w:rsid w:val="005E2599"/>
    <w:rsid w:val="005E25FB"/>
    <w:rsid w:val="005E296E"/>
    <w:rsid w:val="005E2C48"/>
    <w:rsid w:val="005E2C67"/>
    <w:rsid w:val="005E36A5"/>
    <w:rsid w:val="005E373F"/>
    <w:rsid w:val="005E39B2"/>
    <w:rsid w:val="005E39DE"/>
    <w:rsid w:val="005E4208"/>
    <w:rsid w:val="005E50B0"/>
    <w:rsid w:val="005E5586"/>
    <w:rsid w:val="005E597E"/>
    <w:rsid w:val="005E5C78"/>
    <w:rsid w:val="005E6636"/>
    <w:rsid w:val="005E6C63"/>
    <w:rsid w:val="005E6F77"/>
    <w:rsid w:val="005E6F82"/>
    <w:rsid w:val="005E722A"/>
    <w:rsid w:val="005E7944"/>
    <w:rsid w:val="005E7D69"/>
    <w:rsid w:val="005E7ED9"/>
    <w:rsid w:val="005F0532"/>
    <w:rsid w:val="005F09A3"/>
    <w:rsid w:val="005F1547"/>
    <w:rsid w:val="005F17A9"/>
    <w:rsid w:val="005F2057"/>
    <w:rsid w:val="005F259E"/>
    <w:rsid w:val="005F26D2"/>
    <w:rsid w:val="005F285A"/>
    <w:rsid w:val="005F2BE9"/>
    <w:rsid w:val="005F2E14"/>
    <w:rsid w:val="005F3344"/>
    <w:rsid w:val="005F3AE0"/>
    <w:rsid w:val="005F3CA1"/>
    <w:rsid w:val="005F3FFD"/>
    <w:rsid w:val="005F4088"/>
    <w:rsid w:val="005F42FA"/>
    <w:rsid w:val="005F4904"/>
    <w:rsid w:val="005F4A21"/>
    <w:rsid w:val="005F4ACC"/>
    <w:rsid w:val="005F50DA"/>
    <w:rsid w:val="005F5AD4"/>
    <w:rsid w:val="005F5EC6"/>
    <w:rsid w:val="005F5F47"/>
    <w:rsid w:val="005F5FBA"/>
    <w:rsid w:val="005F6491"/>
    <w:rsid w:val="005F65DD"/>
    <w:rsid w:val="005F6693"/>
    <w:rsid w:val="005F6B42"/>
    <w:rsid w:val="005F7773"/>
    <w:rsid w:val="005F7DD3"/>
    <w:rsid w:val="00600103"/>
    <w:rsid w:val="006002D0"/>
    <w:rsid w:val="00600583"/>
    <w:rsid w:val="00600762"/>
    <w:rsid w:val="00600895"/>
    <w:rsid w:val="006014A4"/>
    <w:rsid w:val="006014AE"/>
    <w:rsid w:val="006014E3"/>
    <w:rsid w:val="006016DB"/>
    <w:rsid w:val="00601A73"/>
    <w:rsid w:val="00602033"/>
    <w:rsid w:val="006033F2"/>
    <w:rsid w:val="006035FF"/>
    <w:rsid w:val="00603B74"/>
    <w:rsid w:val="00603BC6"/>
    <w:rsid w:val="006044A9"/>
    <w:rsid w:val="00604814"/>
    <w:rsid w:val="00604DBF"/>
    <w:rsid w:val="00604F22"/>
    <w:rsid w:val="0060524C"/>
    <w:rsid w:val="00605DC2"/>
    <w:rsid w:val="006066B6"/>
    <w:rsid w:val="00606C74"/>
    <w:rsid w:val="00606E85"/>
    <w:rsid w:val="00607048"/>
    <w:rsid w:val="0060758D"/>
    <w:rsid w:val="00607AC8"/>
    <w:rsid w:val="006106D9"/>
    <w:rsid w:val="00610D15"/>
    <w:rsid w:val="006110BE"/>
    <w:rsid w:val="00611109"/>
    <w:rsid w:val="00611874"/>
    <w:rsid w:val="00611A65"/>
    <w:rsid w:val="00611D40"/>
    <w:rsid w:val="00611D88"/>
    <w:rsid w:val="006129D4"/>
    <w:rsid w:val="00612BC4"/>
    <w:rsid w:val="00612CBE"/>
    <w:rsid w:val="00613059"/>
    <w:rsid w:val="006147CB"/>
    <w:rsid w:val="00614AF4"/>
    <w:rsid w:val="006151B8"/>
    <w:rsid w:val="006151F2"/>
    <w:rsid w:val="00615F13"/>
    <w:rsid w:val="0061664B"/>
    <w:rsid w:val="00617D7A"/>
    <w:rsid w:val="00617EBE"/>
    <w:rsid w:val="00620124"/>
    <w:rsid w:val="006207AE"/>
    <w:rsid w:val="00620A74"/>
    <w:rsid w:val="00620B47"/>
    <w:rsid w:val="00621249"/>
    <w:rsid w:val="006217A2"/>
    <w:rsid w:val="00621947"/>
    <w:rsid w:val="00621A35"/>
    <w:rsid w:val="00621F97"/>
    <w:rsid w:val="00622515"/>
    <w:rsid w:val="006226D4"/>
    <w:rsid w:val="00622AFC"/>
    <w:rsid w:val="00623115"/>
    <w:rsid w:val="006231F6"/>
    <w:rsid w:val="006232AB"/>
    <w:rsid w:val="006234AE"/>
    <w:rsid w:val="00623863"/>
    <w:rsid w:val="00623B7C"/>
    <w:rsid w:val="00623BEA"/>
    <w:rsid w:val="00623C08"/>
    <w:rsid w:val="006243C4"/>
    <w:rsid w:val="00624C7A"/>
    <w:rsid w:val="00624E0A"/>
    <w:rsid w:val="006256F4"/>
    <w:rsid w:val="00626476"/>
    <w:rsid w:val="006269FA"/>
    <w:rsid w:val="00627149"/>
    <w:rsid w:val="00627BF8"/>
    <w:rsid w:val="00627F6D"/>
    <w:rsid w:val="006308F4"/>
    <w:rsid w:val="006309BC"/>
    <w:rsid w:val="006310A7"/>
    <w:rsid w:val="0063112B"/>
    <w:rsid w:val="006313C0"/>
    <w:rsid w:val="006313C9"/>
    <w:rsid w:val="006313F9"/>
    <w:rsid w:val="00631480"/>
    <w:rsid w:val="00631A83"/>
    <w:rsid w:val="00631B74"/>
    <w:rsid w:val="00631BB6"/>
    <w:rsid w:val="00632728"/>
    <w:rsid w:val="0063276C"/>
    <w:rsid w:val="006329A8"/>
    <w:rsid w:val="00632B7C"/>
    <w:rsid w:val="00632CB2"/>
    <w:rsid w:val="006336B4"/>
    <w:rsid w:val="0063393E"/>
    <w:rsid w:val="00633E1D"/>
    <w:rsid w:val="00633FDA"/>
    <w:rsid w:val="006346B5"/>
    <w:rsid w:val="00634DFA"/>
    <w:rsid w:val="00635073"/>
    <w:rsid w:val="0063533B"/>
    <w:rsid w:val="00636351"/>
    <w:rsid w:val="00636BC7"/>
    <w:rsid w:val="0063703A"/>
    <w:rsid w:val="00637165"/>
    <w:rsid w:val="0063758B"/>
    <w:rsid w:val="006377C1"/>
    <w:rsid w:val="0063781C"/>
    <w:rsid w:val="00637EDB"/>
    <w:rsid w:val="00640330"/>
    <w:rsid w:val="006404A5"/>
    <w:rsid w:val="006409CB"/>
    <w:rsid w:val="00640D30"/>
    <w:rsid w:val="0064125E"/>
    <w:rsid w:val="00641614"/>
    <w:rsid w:val="00641F02"/>
    <w:rsid w:val="006422B5"/>
    <w:rsid w:val="006424A4"/>
    <w:rsid w:val="0064258E"/>
    <w:rsid w:val="0064266B"/>
    <w:rsid w:val="00642AAA"/>
    <w:rsid w:val="00642C78"/>
    <w:rsid w:val="00642E98"/>
    <w:rsid w:val="00642FB6"/>
    <w:rsid w:val="00643033"/>
    <w:rsid w:val="00643128"/>
    <w:rsid w:val="006442AC"/>
    <w:rsid w:val="0064524A"/>
    <w:rsid w:val="006454F7"/>
    <w:rsid w:val="006464C3"/>
    <w:rsid w:val="00646ACA"/>
    <w:rsid w:val="00646B28"/>
    <w:rsid w:val="00647129"/>
    <w:rsid w:val="0064712A"/>
    <w:rsid w:val="00647435"/>
    <w:rsid w:val="00647583"/>
    <w:rsid w:val="00647953"/>
    <w:rsid w:val="00647AE7"/>
    <w:rsid w:val="00647DAC"/>
    <w:rsid w:val="00647ECE"/>
    <w:rsid w:val="00650933"/>
    <w:rsid w:val="00650F44"/>
    <w:rsid w:val="00651847"/>
    <w:rsid w:val="006536A1"/>
    <w:rsid w:val="006536CB"/>
    <w:rsid w:val="00653AD0"/>
    <w:rsid w:val="00653AE8"/>
    <w:rsid w:val="006547B6"/>
    <w:rsid w:val="00654DD3"/>
    <w:rsid w:val="00654EC9"/>
    <w:rsid w:val="006552D8"/>
    <w:rsid w:val="006562BA"/>
    <w:rsid w:val="006563E4"/>
    <w:rsid w:val="00656921"/>
    <w:rsid w:val="00656ED5"/>
    <w:rsid w:val="00657110"/>
    <w:rsid w:val="0065772A"/>
    <w:rsid w:val="00657881"/>
    <w:rsid w:val="00657BA1"/>
    <w:rsid w:val="00657E14"/>
    <w:rsid w:val="00657EF7"/>
    <w:rsid w:val="00657F9D"/>
    <w:rsid w:val="0066007A"/>
    <w:rsid w:val="0066078A"/>
    <w:rsid w:val="00660AF7"/>
    <w:rsid w:val="00660C65"/>
    <w:rsid w:val="00660D00"/>
    <w:rsid w:val="00661212"/>
    <w:rsid w:val="00661299"/>
    <w:rsid w:val="00661B86"/>
    <w:rsid w:val="0066222A"/>
    <w:rsid w:val="00662515"/>
    <w:rsid w:val="00662848"/>
    <w:rsid w:val="006628A6"/>
    <w:rsid w:val="006639B6"/>
    <w:rsid w:val="00664628"/>
    <w:rsid w:val="00664B18"/>
    <w:rsid w:val="006650DD"/>
    <w:rsid w:val="0066585E"/>
    <w:rsid w:val="00665D8F"/>
    <w:rsid w:val="006661BF"/>
    <w:rsid w:val="00666518"/>
    <w:rsid w:val="0066699A"/>
    <w:rsid w:val="00666C89"/>
    <w:rsid w:val="0066711C"/>
    <w:rsid w:val="006671D0"/>
    <w:rsid w:val="006676AA"/>
    <w:rsid w:val="0066779B"/>
    <w:rsid w:val="00667E91"/>
    <w:rsid w:val="00670A8D"/>
    <w:rsid w:val="00670E86"/>
    <w:rsid w:val="00671198"/>
    <w:rsid w:val="0067130F"/>
    <w:rsid w:val="006713A9"/>
    <w:rsid w:val="00671912"/>
    <w:rsid w:val="00671A1B"/>
    <w:rsid w:val="00671C1A"/>
    <w:rsid w:val="00671DB9"/>
    <w:rsid w:val="00672B5A"/>
    <w:rsid w:val="00672DE8"/>
    <w:rsid w:val="0067394F"/>
    <w:rsid w:val="00673F72"/>
    <w:rsid w:val="0067421D"/>
    <w:rsid w:val="00674294"/>
    <w:rsid w:val="006742BA"/>
    <w:rsid w:val="00674B7B"/>
    <w:rsid w:val="0067503E"/>
    <w:rsid w:val="006753B1"/>
    <w:rsid w:val="006753ED"/>
    <w:rsid w:val="006756EA"/>
    <w:rsid w:val="006762C5"/>
    <w:rsid w:val="00676EEF"/>
    <w:rsid w:val="006772B7"/>
    <w:rsid w:val="0067736C"/>
    <w:rsid w:val="00677375"/>
    <w:rsid w:val="006773DE"/>
    <w:rsid w:val="0067776B"/>
    <w:rsid w:val="00677F5D"/>
    <w:rsid w:val="0068019D"/>
    <w:rsid w:val="00680889"/>
    <w:rsid w:val="00680D2D"/>
    <w:rsid w:val="00680FA4"/>
    <w:rsid w:val="006812EA"/>
    <w:rsid w:val="00681C3B"/>
    <w:rsid w:val="006822F0"/>
    <w:rsid w:val="00682349"/>
    <w:rsid w:val="00682C93"/>
    <w:rsid w:val="00682DE7"/>
    <w:rsid w:val="00682E70"/>
    <w:rsid w:val="0068314A"/>
    <w:rsid w:val="00684307"/>
    <w:rsid w:val="006844EB"/>
    <w:rsid w:val="00684CA1"/>
    <w:rsid w:val="00684ECB"/>
    <w:rsid w:val="00684FA0"/>
    <w:rsid w:val="00684FF1"/>
    <w:rsid w:val="006851CB"/>
    <w:rsid w:val="00685F6E"/>
    <w:rsid w:val="006860CC"/>
    <w:rsid w:val="0068617D"/>
    <w:rsid w:val="00686293"/>
    <w:rsid w:val="006862D0"/>
    <w:rsid w:val="0068630B"/>
    <w:rsid w:val="006865DE"/>
    <w:rsid w:val="006866B0"/>
    <w:rsid w:val="006870EA"/>
    <w:rsid w:val="00687609"/>
    <w:rsid w:val="00687710"/>
    <w:rsid w:val="00687D40"/>
    <w:rsid w:val="00687DBF"/>
    <w:rsid w:val="00687E3E"/>
    <w:rsid w:val="00687FAB"/>
    <w:rsid w:val="00690165"/>
    <w:rsid w:val="006914B7"/>
    <w:rsid w:val="006918F5"/>
    <w:rsid w:val="0069199D"/>
    <w:rsid w:val="00691BCF"/>
    <w:rsid w:val="00692478"/>
    <w:rsid w:val="0069282B"/>
    <w:rsid w:val="00692BD1"/>
    <w:rsid w:val="00692EB1"/>
    <w:rsid w:val="006931E5"/>
    <w:rsid w:val="00693339"/>
    <w:rsid w:val="006933EF"/>
    <w:rsid w:val="006939EA"/>
    <w:rsid w:val="00693BA5"/>
    <w:rsid w:val="00693EDF"/>
    <w:rsid w:val="00694435"/>
    <w:rsid w:val="00694DCB"/>
    <w:rsid w:val="0069531B"/>
    <w:rsid w:val="00695336"/>
    <w:rsid w:val="006955C0"/>
    <w:rsid w:val="006956E5"/>
    <w:rsid w:val="00695A0A"/>
    <w:rsid w:val="006962C3"/>
    <w:rsid w:val="0069637B"/>
    <w:rsid w:val="006965BF"/>
    <w:rsid w:val="006968E9"/>
    <w:rsid w:val="00696B0B"/>
    <w:rsid w:val="00696C4E"/>
    <w:rsid w:val="006972A8"/>
    <w:rsid w:val="006973D7"/>
    <w:rsid w:val="00697515"/>
    <w:rsid w:val="006977E9"/>
    <w:rsid w:val="006A009C"/>
    <w:rsid w:val="006A04A2"/>
    <w:rsid w:val="006A06CE"/>
    <w:rsid w:val="006A0B06"/>
    <w:rsid w:val="006A0B7D"/>
    <w:rsid w:val="006A0DFA"/>
    <w:rsid w:val="006A0F10"/>
    <w:rsid w:val="006A1132"/>
    <w:rsid w:val="006A13D0"/>
    <w:rsid w:val="006A2338"/>
    <w:rsid w:val="006A265C"/>
    <w:rsid w:val="006A2B83"/>
    <w:rsid w:val="006A2C20"/>
    <w:rsid w:val="006A2CB6"/>
    <w:rsid w:val="006A2D86"/>
    <w:rsid w:val="006A2FE0"/>
    <w:rsid w:val="006A3602"/>
    <w:rsid w:val="006A368B"/>
    <w:rsid w:val="006A41F6"/>
    <w:rsid w:val="006A49AB"/>
    <w:rsid w:val="006A557A"/>
    <w:rsid w:val="006A587E"/>
    <w:rsid w:val="006A5C98"/>
    <w:rsid w:val="006A6370"/>
    <w:rsid w:val="006A69CE"/>
    <w:rsid w:val="006A6F59"/>
    <w:rsid w:val="006A6F6F"/>
    <w:rsid w:val="006A71A9"/>
    <w:rsid w:val="006A79BE"/>
    <w:rsid w:val="006A7DD0"/>
    <w:rsid w:val="006B0167"/>
    <w:rsid w:val="006B0294"/>
    <w:rsid w:val="006B03E3"/>
    <w:rsid w:val="006B07DC"/>
    <w:rsid w:val="006B08FA"/>
    <w:rsid w:val="006B1B4D"/>
    <w:rsid w:val="006B1C9F"/>
    <w:rsid w:val="006B2154"/>
    <w:rsid w:val="006B250D"/>
    <w:rsid w:val="006B3794"/>
    <w:rsid w:val="006B3E3D"/>
    <w:rsid w:val="006B3EF4"/>
    <w:rsid w:val="006B4089"/>
    <w:rsid w:val="006B411A"/>
    <w:rsid w:val="006B44D1"/>
    <w:rsid w:val="006B47FB"/>
    <w:rsid w:val="006B484C"/>
    <w:rsid w:val="006B48BB"/>
    <w:rsid w:val="006B4AF4"/>
    <w:rsid w:val="006B4E66"/>
    <w:rsid w:val="006B4F6C"/>
    <w:rsid w:val="006B5873"/>
    <w:rsid w:val="006B5D8E"/>
    <w:rsid w:val="006B5DEF"/>
    <w:rsid w:val="006B5E48"/>
    <w:rsid w:val="006B67E8"/>
    <w:rsid w:val="006B6BA2"/>
    <w:rsid w:val="006C0B60"/>
    <w:rsid w:val="006C0FD7"/>
    <w:rsid w:val="006C1392"/>
    <w:rsid w:val="006C13C1"/>
    <w:rsid w:val="006C1BF5"/>
    <w:rsid w:val="006C263E"/>
    <w:rsid w:val="006C2A69"/>
    <w:rsid w:val="006C2C4F"/>
    <w:rsid w:val="006C310C"/>
    <w:rsid w:val="006C38E0"/>
    <w:rsid w:val="006C3CF6"/>
    <w:rsid w:val="006C46E3"/>
    <w:rsid w:val="006C4872"/>
    <w:rsid w:val="006C49B7"/>
    <w:rsid w:val="006C4BB7"/>
    <w:rsid w:val="006C4ED8"/>
    <w:rsid w:val="006C4EF9"/>
    <w:rsid w:val="006C51E2"/>
    <w:rsid w:val="006C5474"/>
    <w:rsid w:val="006C56CF"/>
    <w:rsid w:val="006C570B"/>
    <w:rsid w:val="006C5A15"/>
    <w:rsid w:val="006C5E02"/>
    <w:rsid w:val="006C5F60"/>
    <w:rsid w:val="006C6110"/>
    <w:rsid w:val="006C6CCE"/>
    <w:rsid w:val="006C7024"/>
    <w:rsid w:val="006C761F"/>
    <w:rsid w:val="006C78E1"/>
    <w:rsid w:val="006C7AAD"/>
    <w:rsid w:val="006C7BAD"/>
    <w:rsid w:val="006D01C6"/>
    <w:rsid w:val="006D0546"/>
    <w:rsid w:val="006D0854"/>
    <w:rsid w:val="006D09CE"/>
    <w:rsid w:val="006D0D29"/>
    <w:rsid w:val="006D0EF1"/>
    <w:rsid w:val="006D1DF9"/>
    <w:rsid w:val="006D2042"/>
    <w:rsid w:val="006D22FA"/>
    <w:rsid w:val="006D2371"/>
    <w:rsid w:val="006D2A29"/>
    <w:rsid w:val="006D3248"/>
    <w:rsid w:val="006D344D"/>
    <w:rsid w:val="006D3C86"/>
    <w:rsid w:val="006D4211"/>
    <w:rsid w:val="006D4276"/>
    <w:rsid w:val="006D474E"/>
    <w:rsid w:val="006D5206"/>
    <w:rsid w:val="006D575B"/>
    <w:rsid w:val="006D59B3"/>
    <w:rsid w:val="006D5BB7"/>
    <w:rsid w:val="006D5EAE"/>
    <w:rsid w:val="006D6117"/>
    <w:rsid w:val="006D6357"/>
    <w:rsid w:val="006D6A52"/>
    <w:rsid w:val="006D70B0"/>
    <w:rsid w:val="006D745D"/>
    <w:rsid w:val="006D79AC"/>
    <w:rsid w:val="006E014D"/>
    <w:rsid w:val="006E03BE"/>
    <w:rsid w:val="006E04A2"/>
    <w:rsid w:val="006E04AE"/>
    <w:rsid w:val="006E04F3"/>
    <w:rsid w:val="006E0C78"/>
    <w:rsid w:val="006E0CCC"/>
    <w:rsid w:val="006E0EAB"/>
    <w:rsid w:val="006E11F0"/>
    <w:rsid w:val="006E1883"/>
    <w:rsid w:val="006E1BC4"/>
    <w:rsid w:val="006E24F5"/>
    <w:rsid w:val="006E2508"/>
    <w:rsid w:val="006E26D3"/>
    <w:rsid w:val="006E28F2"/>
    <w:rsid w:val="006E3000"/>
    <w:rsid w:val="006E3089"/>
    <w:rsid w:val="006E32CE"/>
    <w:rsid w:val="006E371E"/>
    <w:rsid w:val="006E3CBC"/>
    <w:rsid w:val="006E400D"/>
    <w:rsid w:val="006E43E3"/>
    <w:rsid w:val="006E49E2"/>
    <w:rsid w:val="006E4C54"/>
    <w:rsid w:val="006E5370"/>
    <w:rsid w:val="006E5501"/>
    <w:rsid w:val="006E58CE"/>
    <w:rsid w:val="006E5BC0"/>
    <w:rsid w:val="006E612D"/>
    <w:rsid w:val="006E6507"/>
    <w:rsid w:val="006E67D9"/>
    <w:rsid w:val="006E6D3C"/>
    <w:rsid w:val="006E6E5B"/>
    <w:rsid w:val="006E76EA"/>
    <w:rsid w:val="006E7F6C"/>
    <w:rsid w:val="006F047A"/>
    <w:rsid w:val="006F09F1"/>
    <w:rsid w:val="006F0BFF"/>
    <w:rsid w:val="006F0E01"/>
    <w:rsid w:val="006F10CF"/>
    <w:rsid w:val="006F1E3F"/>
    <w:rsid w:val="006F27ED"/>
    <w:rsid w:val="006F4393"/>
    <w:rsid w:val="006F48D5"/>
    <w:rsid w:val="006F4DB7"/>
    <w:rsid w:val="006F536E"/>
    <w:rsid w:val="006F5C65"/>
    <w:rsid w:val="006F5FE1"/>
    <w:rsid w:val="006F6402"/>
    <w:rsid w:val="006F6487"/>
    <w:rsid w:val="006F6789"/>
    <w:rsid w:val="006F719C"/>
    <w:rsid w:val="006F74CD"/>
    <w:rsid w:val="006F75F1"/>
    <w:rsid w:val="006F7701"/>
    <w:rsid w:val="006F78BA"/>
    <w:rsid w:val="006F79BE"/>
    <w:rsid w:val="006F7B10"/>
    <w:rsid w:val="007003F2"/>
    <w:rsid w:val="007007FE"/>
    <w:rsid w:val="00700B06"/>
    <w:rsid w:val="0070189F"/>
    <w:rsid w:val="00701C01"/>
    <w:rsid w:val="00703010"/>
    <w:rsid w:val="00703109"/>
    <w:rsid w:val="00703168"/>
    <w:rsid w:val="0070317A"/>
    <w:rsid w:val="00703407"/>
    <w:rsid w:val="00703827"/>
    <w:rsid w:val="00703A70"/>
    <w:rsid w:val="0070406B"/>
    <w:rsid w:val="0070472E"/>
    <w:rsid w:val="00704858"/>
    <w:rsid w:val="007049ED"/>
    <w:rsid w:val="00704B49"/>
    <w:rsid w:val="0070508E"/>
    <w:rsid w:val="0070522E"/>
    <w:rsid w:val="00705404"/>
    <w:rsid w:val="0070554A"/>
    <w:rsid w:val="00705B54"/>
    <w:rsid w:val="00705DEA"/>
    <w:rsid w:val="007069B5"/>
    <w:rsid w:val="00706AD8"/>
    <w:rsid w:val="007070E1"/>
    <w:rsid w:val="00707E29"/>
    <w:rsid w:val="00710824"/>
    <w:rsid w:val="00710BAD"/>
    <w:rsid w:val="0071172D"/>
    <w:rsid w:val="00711992"/>
    <w:rsid w:val="0071258D"/>
    <w:rsid w:val="0071399D"/>
    <w:rsid w:val="00713FDF"/>
    <w:rsid w:val="00714159"/>
    <w:rsid w:val="0071487A"/>
    <w:rsid w:val="00715493"/>
    <w:rsid w:val="0071578A"/>
    <w:rsid w:val="007158D6"/>
    <w:rsid w:val="00715BBE"/>
    <w:rsid w:val="00716822"/>
    <w:rsid w:val="00716C6C"/>
    <w:rsid w:val="00717024"/>
    <w:rsid w:val="00717063"/>
    <w:rsid w:val="00717091"/>
    <w:rsid w:val="007170E0"/>
    <w:rsid w:val="0071784A"/>
    <w:rsid w:val="00720233"/>
    <w:rsid w:val="00720327"/>
    <w:rsid w:val="0072066E"/>
    <w:rsid w:val="007207F8"/>
    <w:rsid w:val="007209C4"/>
    <w:rsid w:val="007214B2"/>
    <w:rsid w:val="0072150D"/>
    <w:rsid w:val="007215B6"/>
    <w:rsid w:val="00721CC2"/>
    <w:rsid w:val="00721E3E"/>
    <w:rsid w:val="00722665"/>
    <w:rsid w:val="00722874"/>
    <w:rsid w:val="00722B6B"/>
    <w:rsid w:val="00722F93"/>
    <w:rsid w:val="0072317D"/>
    <w:rsid w:val="00723584"/>
    <w:rsid w:val="0072376A"/>
    <w:rsid w:val="007246DF"/>
    <w:rsid w:val="007249FD"/>
    <w:rsid w:val="00724C43"/>
    <w:rsid w:val="00724CB8"/>
    <w:rsid w:val="00724E13"/>
    <w:rsid w:val="007254C6"/>
    <w:rsid w:val="00725CF9"/>
    <w:rsid w:val="007262F9"/>
    <w:rsid w:val="00726929"/>
    <w:rsid w:val="00726A79"/>
    <w:rsid w:val="00726CCA"/>
    <w:rsid w:val="0072733A"/>
    <w:rsid w:val="00727465"/>
    <w:rsid w:val="007308E7"/>
    <w:rsid w:val="00730BE0"/>
    <w:rsid w:val="0073103E"/>
    <w:rsid w:val="007314F8"/>
    <w:rsid w:val="0073196C"/>
    <w:rsid w:val="007320C2"/>
    <w:rsid w:val="00732208"/>
    <w:rsid w:val="007324BB"/>
    <w:rsid w:val="00732BDB"/>
    <w:rsid w:val="00733250"/>
    <w:rsid w:val="00733391"/>
    <w:rsid w:val="007336DF"/>
    <w:rsid w:val="00733994"/>
    <w:rsid w:val="00733A8A"/>
    <w:rsid w:val="00733B2C"/>
    <w:rsid w:val="00733CF2"/>
    <w:rsid w:val="00733D74"/>
    <w:rsid w:val="00733E9B"/>
    <w:rsid w:val="00734C64"/>
    <w:rsid w:val="00735570"/>
    <w:rsid w:val="00735F13"/>
    <w:rsid w:val="00736057"/>
    <w:rsid w:val="007362F3"/>
    <w:rsid w:val="00736DDD"/>
    <w:rsid w:val="00737857"/>
    <w:rsid w:val="00737E40"/>
    <w:rsid w:val="0074046B"/>
    <w:rsid w:val="00740607"/>
    <w:rsid w:val="00740D53"/>
    <w:rsid w:val="00740E7D"/>
    <w:rsid w:val="00741255"/>
    <w:rsid w:val="00741A97"/>
    <w:rsid w:val="00741E4F"/>
    <w:rsid w:val="00742449"/>
    <w:rsid w:val="007424D6"/>
    <w:rsid w:val="00742B35"/>
    <w:rsid w:val="00742E85"/>
    <w:rsid w:val="007437DC"/>
    <w:rsid w:val="007443A1"/>
    <w:rsid w:val="00744853"/>
    <w:rsid w:val="00744C20"/>
    <w:rsid w:val="00744DC3"/>
    <w:rsid w:val="00745048"/>
    <w:rsid w:val="0074504A"/>
    <w:rsid w:val="0074583F"/>
    <w:rsid w:val="00745AAF"/>
    <w:rsid w:val="00746103"/>
    <w:rsid w:val="007461E4"/>
    <w:rsid w:val="0074620D"/>
    <w:rsid w:val="00746AD9"/>
    <w:rsid w:val="00747481"/>
    <w:rsid w:val="00747BE5"/>
    <w:rsid w:val="00747BF7"/>
    <w:rsid w:val="00747EEE"/>
    <w:rsid w:val="00750A5B"/>
    <w:rsid w:val="00750C7A"/>
    <w:rsid w:val="0075104B"/>
    <w:rsid w:val="00752B2D"/>
    <w:rsid w:val="00752E65"/>
    <w:rsid w:val="00752F6C"/>
    <w:rsid w:val="00753348"/>
    <w:rsid w:val="00753796"/>
    <w:rsid w:val="00754441"/>
    <w:rsid w:val="007544EB"/>
    <w:rsid w:val="00754C8B"/>
    <w:rsid w:val="00755053"/>
    <w:rsid w:val="00755932"/>
    <w:rsid w:val="0075606D"/>
    <w:rsid w:val="0075647D"/>
    <w:rsid w:val="00757448"/>
    <w:rsid w:val="00757518"/>
    <w:rsid w:val="0075762C"/>
    <w:rsid w:val="00757723"/>
    <w:rsid w:val="00757976"/>
    <w:rsid w:val="00760227"/>
    <w:rsid w:val="0076083B"/>
    <w:rsid w:val="007608EA"/>
    <w:rsid w:val="00760CCF"/>
    <w:rsid w:val="00760D3D"/>
    <w:rsid w:val="00762712"/>
    <w:rsid w:val="00763A7F"/>
    <w:rsid w:val="0076416E"/>
    <w:rsid w:val="007641D0"/>
    <w:rsid w:val="00764AF5"/>
    <w:rsid w:val="007651A8"/>
    <w:rsid w:val="00765529"/>
    <w:rsid w:val="00765988"/>
    <w:rsid w:val="00765A30"/>
    <w:rsid w:val="00766377"/>
    <w:rsid w:val="007668DF"/>
    <w:rsid w:val="00766BDD"/>
    <w:rsid w:val="00766DC4"/>
    <w:rsid w:val="007674AE"/>
    <w:rsid w:val="00767DB6"/>
    <w:rsid w:val="00767EB0"/>
    <w:rsid w:val="00770582"/>
    <w:rsid w:val="00770A3B"/>
    <w:rsid w:val="007718CA"/>
    <w:rsid w:val="007722ED"/>
    <w:rsid w:val="007724BA"/>
    <w:rsid w:val="007725BB"/>
    <w:rsid w:val="00772768"/>
    <w:rsid w:val="00772AAD"/>
    <w:rsid w:val="00772D01"/>
    <w:rsid w:val="00772ECE"/>
    <w:rsid w:val="00772F64"/>
    <w:rsid w:val="00773154"/>
    <w:rsid w:val="00773994"/>
    <w:rsid w:val="00774667"/>
    <w:rsid w:val="007746FA"/>
    <w:rsid w:val="00774773"/>
    <w:rsid w:val="00774820"/>
    <w:rsid w:val="00774C63"/>
    <w:rsid w:val="00775C4B"/>
    <w:rsid w:val="00776009"/>
    <w:rsid w:val="00776438"/>
    <w:rsid w:val="007766EE"/>
    <w:rsid w:val="0077679C"/>
    <w:rsid w:val="00777BFD"/>
    <w:rsid w:val="00777D63"/>
    <w:rsid w:val="00777E00"/>
    <w:rsid w:val="0078054E"/>
    <w:rsid w:val="0078069F"/>
    <w:rsid w:val="00780724"/>
    <w:rsid w:val="00780989"/>
    <w:rsid w:val="00780E54"/>
    <w:rsid w:val="00780EAB"/>
    <w:rsid w:val="00782F0F"/>
    <w:rsid w:val="007831AE"/>
    <w:rsid w:val="00783572"/>
    <w:rsid w:val="00783873"/>
    <w:rsid w:val="00783ABB"/>
    <w:rsid w:val="0078410A"/>
    <w:rsid w:val="00784239"/>
    <w:rsid w:val="007846F3"/>
    <w:rsid w:val="007852E3"/>
    <w:rsid w:val="00785350"/>
    <w:rsid w:val="00785A47"/>
    <w:rsid w:val="00785E6D"/>
    <w:rsid w:val="007860AA"/>
    <w:rsid w:val="0078616A"/>
    <w:rsid w:val="00786754"/>
    <w:rsid w:val="00786B5B"/>
    <w:rsid w:val="00786F01"/>
    <w:rsid w:val="00787C10"/>
    <w:rsid w:val="00790137"/>
    <w:rsid w:val="007901FA"/>
    <w:rsid w:val="007905ED"/>
    <w:rsid w:val="00790826"/>
    <w:rsid w:val="0079113F"/>
    <w:rsid w:val="00791709"/>
    <w:rsid w:val="007917E0"/>
    <w:rsid w:val="0079183A"/>
    <w:rsid w:val="00791C6C"/>
    <w:rsid w:val="00792516"/>
    <w:rsid w:val="00792CBF"/>
    <w:rsid w:val="00793503"/>
    <w:rsid w:val="00793728"/>
    <w:rsid w:val="007937F3"/>
    <w:rsid w:val="00793807"/>
    <w:rsid w:val="00793890"/>
    <w:rsid w:val="007939CD"/>
    <w:rsid w:val="00793C1C"/>
    <w:rsid w:val="00793C84"/>
    <w:rsid w:val="00794E08"/>
    <w:rsid w:val="007952ED"/>
    <w:rsid w:val="00795458"/>
    <w:rsid w:val="00795C7E"/>
    <w:rsid w:val="00795EA5"/>
    <w:rsid w:val="00796D3B"/>
    <w:rsid w:val="00796FCC"/>
    <w:rsid w:val="00797B07"/>
    <w:rsid w:val="007A0B07"/>
    <w:rsid w:val="007A161C"/>
    <w:rsid w:val="007A1644"/>
    <w:rsid w:val="007A1C31"/>
    <w:rsid w:val="007A1F34"/>
    <w:rsid w:val="007A1FCC"/>
    <w:rsid w:val="007A2C0E"/>
    <w:rsid w:val="007A2D97"/>
    <w:rsid w:val="007A3987"/>
    <w:rsid w:val="007A3CB8"/>
    <w:rsid w:val="007A4550"/>
    <w:rsid w:val="007A5121"/>
    <w:rsid w:val="007A5661"/>
    <w:rsid w:val="007A581F"/>
    <w:rsid w:val="007A5A0D"/>
    <w:rsid w:val="007A5D99"/>
    <w:rsid w:val="007A603F"/>
    <w:rsid w:val="007A61DF"/>
    <w:rsid w:val="007A687B"/>
    <w:rsid w:val="007A69FE"/>
    <w:rsid w:val="007A6D64"/>
    <w:rsid w:val="007A79EF"/>
    <w:rsid w:val="007A7D86"/>
    <w:rsid w:val="007A7F35"/>
    <w:rsid w:val="007B0760"/>
    <w:rsid w:val="007B09B1"/>
    <w:rsid w:val="007B0BC4"/>
    <w:rsid w:val="007B12D7"/>
    <w:rsid w:val="007B17A7"/>
    <w:rsid w:val="007B1982"/>
    <w:rsid w:val="007B1E9C"/>
    <w:rsid w:val="007B1EBF"/>
    <w:rsid w:val="007B29D1"/>
    <w:rsid w:val="007B2BD2"/>
    <w:rsid w:val="007B330F"/>
    <w:rsid w:val="007B3694"/>
    <w:rsid w:val="007B3933"/>
    <w:rsid w:val="007B39E7"/>
    <w:rsid w:val="007B3B55"/>
    <w:rsid w:val="007B3CF2"/>
    <w:rsid w:val="007B4D66"/>
    <w:rsid w:val="007B4FDB"/>
    <w:rsid w:val="007B508F"/>
    <w:rsid w:val="007B516F"/>
    <w:rsid w:val="007B51B8"/>
    <w:rsid w:val="007B5B39"/>
    <w:rsid w:val="007B60B1"/>
    <w:rsid w:val="007B6739"/>
    <w:rsid w:val="007B67CC"/>
    <w:rsid w:val="007B6E2E"/>
    <w:rsid w:val="007B7104"/>
    <w:rsid w:val="007B7244"/>
    <w:rsid w:val="007B7A47"/>
    <w:rsid w:val="007B7BB9"/>
    <w:rsid w:val="007B7FC6"/>
    <w:rsid w:val="007C02D3"/>
    <w:rsid w:val="007C0B71"/>
    <w:rsid w:val="007C0E57"/>
    <w:rsid w:val="007C11A6"/>
    <w:rsid w:val="007C18EE"/>
    <w:rsid w:val="007C20BF"/>
    <w:rsid w:val="007C24DD"/>
    <w:rsid w:val="007C2FCB"/>
    <w:rsid w:val="007C357B"/>
    <w:rsid w:val="007C386F"/>
    <w:rsid w:val="007C3AB6"/>
    <w:rsid w:val="007C3B2A"/>
    <w:rsid w:val="007C3D1F"/>
    <w:rsid w:val="007C3DC2"/>
    <w:rsid w:val="007C3E9E"/>
    <w:rsid w:val="007C4916"/>
    <w:rsid w:val="007C4993"/>
    <w:rsid w:val="007C4D0C"/>
    <w:rsid w:val="007C54AB"/>
    <w:rsid w:val="007C562F"/>
    <w:rsid w:val="007C624F"/>
    <w:rsid w:val="007C6D70"/>
    <w:rsid w:val="007C7250"/>
    <w:rsid w:val="007C7C3D"/>
    <w:rsid w:val="007D02F8"/>
    <w:rsid w:val="007D11CA"/>
    <w:rsid w:val="007D1214"/>
    <w:rsid w:val="007D1577"/>
    <w:rsid w:val="007D19CC"/>
    <w:rsid w:val="007D23F4"/>
    <w:rsid w:val="007D2585"/>
    <w:rsid w:val="007D2685"/>
    <w:rsid w:val="007D271F"/>
    <w:rsid w:val="007D2A03"/>
    <w:rsid w:val="007D319C"/>
    <w:rsid w:val="007D32D6"/>
    <w:rsid w:val="007D3F6E"/>
    <w:rsid w:val="007D417E"/>
    <w:rsid w:val="007D42AA"/>
    <w:rsid w:val="007D45B3"/>
    <w:rsid w:val="007D4B43"/>
    <w:rsid w:val="007D5964"/>
    <w:rsid w:val="007D59C6"/>
    <w:rsid w:val="007D5B09"/>
    <w:rsid w:val="007D610D"/>
    <w:rsid w:val="007D619A"/>
    <w:rsid w:val="007D676C"/>
    <w:rsid w:val="007D68D6"/>
    <w:rsid w:val="007D6A55"/>
    <w:rsid w:val="007D6BB2"/>
    <w:rsid w:val="007D7291"/>
    <w:rsid w:val="007D75E7"/>
    <w:rsid w:val="007D7F1A"/>
    <w:rsid w:val="007E021C"/>
    <w:rsid w:val="007E04B4"/>
    <w:rsid w:val="007E0960"/>
    <w:rsid w:val="007E0964"/>
    <w:rsid w:val="007E0A8F"/>
    <w:rsid w:val="007E103C"/>
    <w:rsid w:val="007E10FD"/>
    <w:rsid w:val="007E1124"/>
    <w:rsid w:val="007E1135"/>
    <w:rsid w:val="007E1445"/>
    <w:rsid w:val="007E1594"/>
    <w:rsid w:val="007E1601"/>
    <w:rsid w:val="007E1775"/>
    <w:rsid w:val="007E1EA6"/>
    <w:rsid w:val="007E26A7"/>
    <w:rsid w:val="007E2873"/>
    <w:rsid w:val="007E34B8"/>
    <w:rsid w:val="007E3569"/>
    <w:rsid w:val="007E3A21"/>
    <w:rsid w:val="007E3B20"/>
    <w:rsid w:val="007E3C45"/>
    <w:rsid w:val="007E46E0"/>
    <w:rsid w:val="007E471F"/>
    <w:rsid w:val="007E5455"/>
    <w:rsid w:val="007E5464"/>
    <w:rsid w:val="007E5663"/>
    <w:rsid w:val="007E633D"/>
    <w:rsid w:val="007E641C"/>
    <w:rsid w:val="007E642B"/>
    <w:rsid w:val="007E6A37"/>
    <w:rsid w:val="007E6AC2"/>
    <w:rsid w:val="007F0477"/>
    <w:rsid w:val="007F04A5"/>
    <w:rsid w:val="007F0F9B"/>
    <w:rsid w:val="007F1DC7"/>
    <w:rsid w:val="007F1E3D"/>
    <w:rsid w:val="007F229E"/>
    <w:rsid w:val="007F3D26"/>
    <w:rsid w:val="007F3DC2"/>
    <w:rsid w:val="007F3FAF"/>
    <w:rsid w:val="007F40C0"/>
    <w:rsid w:val="007F43B5"/>
    <w:rsid w:val="007F52F7"/>
    <w:rsid w:val="007F5FA8"/>
    <w:rsid w:val="007F6411"/>
    <w:rsid w:val="007F6613"/>
    <w:rsid w:val="007F6B37"/>
    <w:rsid w:val="007F7893"/>
    <w:rsid w:val="007F7BA6"/>
    <w:rsid w:val="007F7E07"/>
    <w:rsid w:val="007F7E6A"/>
    <w:rsid w:val="007F7F12"/>
    <w:rsid w:val="00800299"/>
    <w:rsid w:val="008007C6"/>
    <w:rsid w:val="008016D8"/>
    <w:rsid w:val="00801FBE"/>
    <w:rsid w:val="00802871"/>
    <w:rsid w:val="0080310F"/>
    <w:rsid w:val="008031BE"/>
    <w:rsid w:val="00803513"/>
    <w:rsid w:val="00804369"/>
    <w:rsid w:val="00804654"/>
    <w:rsid w:val="00804BD0"/>
    <w:rsid w:val="00804EDA"/>
    <w:rsid w:val="00804FB8"/>
    <w:rsid w:val="008052F1"/>
    <w:rsid w:val="00805503"/>
    <w:rsid w:val="0080569E"/>
    <w:rsid w:val="00805920"/>
    <w:rsid w:val="00805936"/>
    <w:rsid w:val="00805A70"/>
    <w:rsid w:val="00805BA5"/>
    <w:rsid w:val="00805C2B"/>
    <w:rsid w:val="008071D7"/>
    <w:rsid w:val="0081009E"/>
    <w:rsid w:val="008100F5"/>
    <w:rsid w:val="00810281"/>
    <w:rsid w:val="008102E5"/>
    <w:rsid w:val="008104FC"/>
    <w:rsid w:val="00810991"/>
    <w:rsid w:val="00810B62"/>
    <w:rsid w:val="00811007"/>
    <w:rsid w:val="00811DEB"/>
    <w:rsid w:val="008122B2"/>
    <w:rsid w:val="00812751"/>
    <w:rsid w:val="00812DC7"/>
    <w:rsid w:val="00813450"/>
    <w:rsid w:val="008140C9"/>
    <w:rsid w:val="0081441C"/>
    <w:rsid w:val="008145DE"/>
    <w:rsid w:val="00814628"/>
    <w:rsid w:val="008147D9"/>
    <w:rsid w:val="00814872"/>
    <w:rsid w:val="00815376"/>
    <w:rsid w:val="00816475"/>
    <w:rsid w:val="00816573"/>
    <w:rsid w:val="00816AF4"/>
    <w:rsid w:val="00816DC2"/>
    <w:rsid w:val="00816E74"/>
    <w:rsid w:val="008170DF"/>
    <w:rsid w:val="00817825"/>
    <w:rsid w:val="008178B7"/>
    <w:rsid w:val="00817988"/>
    <w:rsid w:val="00817E2B"/>
    <w:rsid w:val="00817FB7"/>
    <w:rsid w:val="0082109F"/>
    <w:rsid w:val="008215D0"/>
    <w:rsid w:val="00821855"/>
    <w:rsid w:val="0082188F"/>
    <w:rsid w:val="00821DE6"/>
    <w:rsid w:val="00822003"/>
    <w:rsid w:val="00822335"/>
    <w:rsid w:val="008226D8"/>
    <w:rsid w:val="00822EE5"/>
    <w:rsid w:val="00823080"/>
    <w:rsid w:val="0082320E"/>
    <w:rsid w:val="00823641"/>
    <w:rsid w:val="008241B6"/>
    <w:rsid w:val="008241BE"/>
    <w:rsid w:val="00824575"/>
    <w:rsid w:val="0082483C"/>
    <w:rsid w:val="00825109"/>
    <w:rsid w:val="0082590C"/>
    <w:rsid w:val="00825C17"/>
    <w:rsid w:val="00825D33"/>
    <w:rsid w:val="008268E0"/>
    <w:rsid w:val="00826C93"/>
    <w:rsid w:val="00826E11"/>
    <w:rsid w:val="00827685"/>
    <w:rsid w:val="008277F0"/>
    <w:rsid w:val="008277F7"/>
    <w:rsid w:val="00827A1D"/>
    <w:rsid w:val="00827C1D"/>
    <w:rsid w:val="0083062C"/>
    <w:rsid w:val="008309DA"/>
    <w:rsid w:val="00830BB4"/>
    <w:rsid w:val="00830DE7"/>
    <w:rsid w:val="00830EC4"/>
    <w:rsid w:val="00830F25"/>
    <w:rsid w:val="00830F27"/>
    <w:rsid w:val="008312F1"/>
    <w:rsid w:val="0083184B"/>
    <w:rsid w:val="00831A78"/>
    <w:rsid w:val="008320E6"/>
    <w:rsid w:val="00832150"/>
    <w:rsid w:val="008321B2"/>
    <w:rsid w:val="0083222F"/>
    <w:rsid w:val="00832291"/>
    <w:rsid w:val="0083249D"/>
    <w:rsid w:val="00832AFA"/>
    <w:rsid w:val="00832D0B"/>
    <w:rsid w:val="00833C15"/>
    <w:rsid w:val="00834568"/>
    <w:rsid w:val="0083473B"/>
    <w:rsid w:val="00834778"/>
    <w:rsid w:val="0083477D"/>
    <w:rsid w:val="00834816"/>
    <w:rsid w:val="008349BE"/>
    <w:rsid w:val="00835085"/>
    <w:rsid w:val="008352A1"/>
    <w:rsid w:val="008354DF"/>
    <w:rsid w:val="00835EDE"/>
    <w:rsid w:val="0083654B"/>
    <w:rsid w:val="008365BA"/>
    <w:rsid w:val="0083697F"/>
    <w:rsid w:val="0083753A"/>
    <w:rsid w:val="00837B5E"/>
    <w:rsid w:val="008401A1"/>
    <w:rsid w:val="00840AA8"/>
    <w:rsid w:val="008412C5"/>
    <w:rsid w:val="008413B4"/>
    <w:rsid w:val="00841503"/>
    <w:rsid w:val="00841C2D"/>
    <w:rsid w:val="00841EA1"/>
    <w:rsid w:val="00842138"/>
    <w:rsid w:val="0084234D"/>
    <w:rsid w:val="00842B63"/>
    <w:rsid w:val="00842FAE"/>
    <w:rsid w:val="0084339E"/>
    <w:rsid w:val="008433F5"/>
    <w:rsid w:val="00843949"/>
    <w:rsid w:val="00843B70"/>
    <w:rsid w:val="00843E0C"/>
    <w:rsid w:val="00843EF2"/>
    <w:rsid w:val="0084428A"/>
    <w:rsid w:val="008442DB"/>
    <w:rsid w:val="00845139"/>
    <w:rsid w:val="008455A1"/>
    <w:rsid w:val="00845629"/>
    <w:rsid w:val="008456F2"/>
    <w:rsid w:val="00845DD1"/>
    <w:rsid w:val="00845F76"/>
    <w:rsid w:val="008463CE"/>
    <w:rsid w:val="008466B5"/>
    <w:rsid w:val="00847120"/>
    <w:rsid w:val="00847216"/>
    <w:rsid w:val="00847A4D"/>
    <w:rsid w:val="00847F72"/>
    <w:rsid w:val="008502A4"/>
    <w:rsid w:val="008503DB"/>
    <w:rsid w:val="008503ED"/>
    <w:rsid w:val="0085067D"/>
    <w:rsid w:val="0085088C"/>
    <w:rsid w:val="00850ACB"/>
    <w:rsid w:val="00850B00"/>
    <w:rsid w:val="00850E69"/>
    <w:rsid w:val="008511DF"/>
    <w:rsid w:val="00851A46"/>
    <w:rsid w:val="00851AFD"/>
    <w:rsid w:val="00851C44"/>
    <w:rsid w:val="00852265"/>
    <w:rsid w:val="0085243A"/>
    <w:rsid w:val="0085295F"/>
    <w:rsid w:val="00852B1B"/>
    <w:rsid w:val="00852DC4"/>
    <w:rsid w:val="00852F43"/>
    <w:rsid w:val="00853044"/>
    <w:rsid w:val="00853397"/>
    <w:rsid w:val="008533D3"/>
    <w:rsid w:val="0085375A"/>
    <w:rsid w:val="00853A27"/>
    <w:rsid w:val="00853B11"/>
    <w:rsid w:val="00853DD0"/>
    <w:rsid w:val="0085407D"/>
    <w:rsid w:val="00855024"/>
    <w:rsid w:val="008551EF"/>
    <w:rsid w:val="008559C0"/>
    <w:rsid w:val="00855AE3"/>
    <w:rsid w:val="00856438"/>
    <w:rsid w:val="0085655F"/>
    <w:rsid w:val="008565A2"/>
    <w:rsid w:val="008566DC"/>
    <w:rsid w:val="00856E6C"/>
    <w:rsid w:val="00856FDE"/>
    <w:rsid w:val="0085722F"/>
    <w:rsid w:val="00857E0A"/>
    <w:rsid w:val="008607F6"/>
    <w:rsid w:val="00860CE3"/>
    <w:rsid w:val="00860E5C"/>
    <w:rsid w:val="00860F1F"/>
    <w:rsid w:val="00861320"/>
    <w:rsid w:val="00861900"/>
    <w:rsid w:val="008621CE"/>
    <w:rsid w:val="0086228E"/>
    <w:rsid w:val="008623B4"/>
    <w:rsid w:val="00862442"/>
    <w:rsid w:val="008626CB"/>
    <w:rsid w:val="00862B27"/>
    <w:rsid w:val="00863311"/>
    <w:rsid w:val="0086385E"/>
    <w:rsid w:val="00863D5D"/>
    <w:rsid w:val="00864B74"/>
    <w:rsid w:val="00864B8E"/>
    <w:rsid w:val="00864D57"/>
    <w:rsid w:val="00864DC3"/>
    <w:rsid w:val="00864F30"/>
    <w:rsid w:val="008652D2"/>
    <w:rsid w:val="00866CD2"/>
    <w:rsid w:val="00867985"/>
    <w:rsid w:val="00870188"/>
    <w:rsid w:val="008701D6"/>
    <w:rsid w:val="0087210F"/>
    <w:rsid w:val="008722BB"/>
    <w:rsid w:val="00872F47"/>
    <w:rsid w:val="00873361"/>
    <w:rsid w:val="00873492"/>
    <w:rsid w:val="00873559"/>
    <w:rsid w:val="00873E56"/>
    <w:rsid w:val="008746FD"/>
    <w:rsid w:val="00874C3F"/>
    <w:rsid w:val="00875221"/>
    <w:rsid w:val="00875B77"/>
    <w:rsid w:val="00875EAF"/>
    <w:rsid w:val="0087708F"/>
    <w:rsid w:val="00877132"/>
    <w:rsid w:val="00877966"/>
    <w:rsid w:val="008779BD"/>
    <w:rsid w:val="00877A29"/>
    <w:rsid w:val="00877FE6"/>
    <w:rsid w:val="008804E0"/>
    <w:rsid w:val="0088110F"/>
    <w:rsid w:val="008811C7"/>
    <w:rsid w:val="008817F5"/>
    <w:rsid w:val="008818B0"/>
    <w:rsid w:val="00881A62"/>
    <w:rsid w:val="00881CFC"/>
    <w:rsid w:val="00882793"/>
    <w:rsid w:val="00882869"/>
    <w:rsid w:val="008837AA"/>
    <w:rsid w:val="00883A1F"/>
    <w:rsid w:val="00883A9C"/>
    <w:rsid w:val="00883C47"/>
    <w:rsid w:val="00884180"/>
    <w:rsid w:val="00884574"/>
    <w:rsid w:val="008847B0"/>
    <w:rsid w:val="008855FA"/>
    <w:rsid w:val="008857D5"/>
    <w:rsid w:val="00885862"/>
    <w:rsid w:val="008859B4"/>
    <w:rsid w:val="00885F8D"/>
    <w:rsid w:val="008860ED"/>
    <w:rsid w:val="0088622B"/>
    <w:rsid w:val="00886398"/>
    <w:rsid w:val="00886579"/>
    <w:rsid w:val="0088657A"/>
    <w:rsid w:val="00887DCA"/>
    <w:rsid w:val="008901E3"/>
    <w:rsid w:val="00890365"/>
    <w:rsid w:val="00890FC6"/>
    <w:rsid w:val="00891DD6"/>
    <w:rsid w:val="00891E04"/>
    <w:rsid w:val="00891E22"/>
    <w:rsid w:val="00892C74"/>
    <w:rsid w:val="00893079"/>
    <w:rsid w:val="00893A67"/>
    <w:rsid w:val="00893A7C"/>
    <w:rsid w:val="0089494A"/>
    <w:rsid w:val="00894E7D"/>
    <w:rsid w:val="008952BC"/>
    <w:rsid w:val="00895A01"/>
    <w:rsid w:val="00896154"/>
    <w:rsid w:val="008961E3"/>
    <w:rsid w:val="00896544"/>
    <w:rsid w:val="0089691A"/>
    <w:rsid w:val="00896F7E"/>
    <w:rsid w:val="00897162"/>
    <w:rsid w:val="0089753A"/>
    <w:rsid w:val="00897DE1"/>
    <w:rsid w:val="008A0309"/>
    <w:rsid w:val="008A04D9"/>
    <w:rsid w:val="008A112A"/>
    <w:rsid w:val="008A19EA"/>
    <w:rsid w:val="008A2608"/>
    <w:rsid w:val="008A2A4A"/>
    <w:rsid w:val="008A2F16"/>
    <w:rsid w:val="008A3034"/>
    <w:rsid w:val="008A3354"/>
    <w:rsid w:val="008A341B"/>
    <w:rsid w:val="008A36EE"/>
    <w:rsid w:val="008A3826"/>
    <w:rsid w:val="008A39FF"/>
    <w:rsid w:val="008A3ED6"/>
    <w:rsid w:val="008A48D3"/>
    <w:rsid w:val="008A4D7C"/>
    <w:rsid w:val="008A51A8"/>
    <w:rsid w:val="008A5909"/>
    <w:rsid w:val="008A5C03"/>
    <w:rsid w:val="008A5DF3"/>
    <w:rsid w:val="008A5F7A"/>
    <w:rsid w:val="008A6275"/>
    <w:rsid w:val="008A6DD6"/>
    <w:rsid w:val="008A72B0"/>
    <w:rsid w:val="008A7509"/>
    <w:rsid w:val="008A7680"/>
    <w:rsid w:val="008A7691"/>
    <w:rsid w:val="008A7829"/>
    <w:rsid w:val="008A7E18"/>
    <w:rsid w:val="008B0276"/>
    <w:rsid w:val="008B0289"/>
    <w:rsid w:val="008B03B0"/>
    <w:rsid w:val="008B04E8"/>
    <w:rsid w:val="008B0C6D"/>
    <w:rsid w:val="008B0CC7"/>
    <w:rsid w:val="008B0E04"/>
    <w:rsid w:val="008B11F9"/>
    <w:rsid w:val="008B12EC"/>
    <w:rsid w:val="008B1C3B"/>
    <w:rsid w:val="008B2B0B"/>
    <w:rsid w:val="008B3482"/>
    <w:rsid w:val="008B3908"/>
    <w:rsid w:val="008B39D4"/>
    <w:rsid w:val="008B3A17"/>
    <w:rsid w:val="008B3FD0"/>
    <w:rsid w:val="008B456B"/>
    <w:rsid w:val="008B458B"/>
    <w:rsid w:val="008B4C14"/>
    <w:rsid w:val="008B51E9"/>
    <w:rsid w:val="008B581C"/>
    <w:rsid w:val="008B5E2B"/>
    <w:rsid w:val="008B6154"/>
    <w:rsid w:val="008B64EA"/>
    <w:rsid w:val="008B657A"/>
    <w:rsid w:val="008B6EFD"/>
    <w:rsid w:val="008C101C"/>
    <w:rsid w:val="008C13DA"/>
    <w:rsid w:val="008C23DC"/>
    <w:rsid w:val="008C23DE"/>
    <w:rsid w:val="008C2B61"/>
    <w:rsid w:val="008C2DF1"/>
    <w:rsid w:val="008C2DF2"/>
    <w:rsid w:val="008C2E8C"/>
    <w:rsid w:val="008C2FA3"/>
    <w:rsid w:val="008C3D08"/>
    <w:rsid w:val="008C40CC"/>
    <w:rsid w:val="008C45F3"/>
    <w:rsid w:val="008C4ABB"/>
    <w:rsid w:val="008C4B86"/>
    <w:rsid w:val="008C5066"/>
    <w:rsid w:val="008C54F9"/>
    <w:rsid w:val="008C5D5E"/>
    <w:rsid w:val="008C5DCE"/>
    <w:rsid w:val="008C60D0"/>
    <w:rsid w:val="008C6767"/>
    <w:rsid w:val="008C6D40"/>
    <w:rsid w:val="008C6E74"/>
    <w:rsid w:val="008C7344"/>
    <w:rsid w:val="008C76B4"/>
    <w:rsid w:val="008C7A94"/>
    <w:rsid w:val="008C7CD7"/>
    <w:rsid w:val="008D0982"/>
    <w:rsid w:val="008D0A02"/>
    <w:rsid w:val="008D0DA1"/>
    <w:rsid w:val="008D1ACD"/>
    <w:rsid w:val="008D1B44"/>
    <w:rsid w:val="008D1B49"/>
    <w:rsid w:val="008D1DF3"/>
    <w:rsid w:val="008D201D"/>
    <w:rsid w:val="008D2BF7"/>
    <w:rsid w:val="008D4276"/>
    <w:rsid w:val="008D4863"/>
    <w:rsid w:val="008D4AD5"/>
    <w:rsid w:val="008D50C8"/>
    <w:rsid w:val="008D5332"/>
    <w:rsid w:val="008D57F7"/>
    <w:rsid w:val="008D5857"/>
    <w:rsid w:val="008D5B98"/>
    <w:rsid w:val="008D5BF6"/>
    <w:rsid w:val="008D6222"/>
    <w:rsid w:val="008D64A9"/>
    <w:rsid w:val="008D67B3"/>
    <w:rsid w:val="008D6B9F"/>
    <w:rsid w:val="008D6C27"/>
    <w:rsid w:val="008D6C9D"/>
    <w:rsid w:val="008D725B"/>
    <w:rsid w:val="008D73EB"/>
    <w:rsid w:val="008D7412"/>
    <w:rsid w:val="008D7867"/>
    <w:rsid w:val="008D799C"/>
    <w:rsid w:val="008D7A39"/>
    <w:rsid w:val="008E02FE"/>
    <w:rsid w:val="008E0BF1"/>
    <w:rsid w:val="008E0CC9"/>
    <w:rsid w:val="008E1341"/>
    <w:rsid w:val="008E159D"/>
    <w:rsid w:val="008E1725"/>
    <w:rsid w:val="008E240A"/>
    <w:rsid w:val="008E2455"/>
    <w:rsid w:val="008E2B1A"/>
    <w:rsid w:val="008E2B60"/>
    <w:rsid w:val="008E2C88"/>
    <w:rsid w:val="008E2CDD"/>
    <w:rsid w:val="008E304D"/>
    <w:rsid w:val="008E3E81"/>
    <w:rsid w:val="008E4134"/>
    <w:rsid w:val="008E45D1"/>
    <w:rsid w:val="008E5743"/>
    <w:rsid w:val="008E5B1C"/>
    <w:rsid w:val="008E631A"/>
    <w:rsid w:val="008F07FB"/>
    <w:rsid w:val="008F08FA"/>
    <w:rsid w:val="008F0A6F"/>
    <w:rsid w:val="008F0FE4"/>
    <w:rsid w:val="008F19A1"/>
    <w:rsid w:val="008F19DF"/>
    <w:rsid w:val="008F27A5"/>
    <w:rsid w:val="008F2A3C"/>
    <w:rsid w:val="008F2C7F"/>
    <w:rsid w:val="008F2D36"/>
    <w:rsid w:val="008F33C5"/>
    <w:rsid w:val="008F35AE"/>
    <w:rsid w:val="008F360F"/>
    <w:rsid w:val="008F37C1"/>
    <w:rsid w:val="008F3F8C"/>
    <w:rsid w:val="008F4767"/>
    <w:rsid w:val="008F47BB"/>
    <w:rsid w:val="008F47F7"/>
    <w:rsid w:val="008F499D"/>
    <w:rsid w:val="008F55BE"/>
    <w:rsid w:val="008F56C2"/>
    <w:rsid w:val="008F5AB7"/>
    <w:rsid w:val="008F5CA1"/>
    <w:rsid w:val="008F625E"/>
    <w:rsid w:val="008F64E0"/>
    <w:rsid w:val="008F6986"/>
    <w:rsid w:val="008F6A49"/>
    <w:rsid w:val="008F6C1F"/>
    <w:rsid w:val="008F6ED0"/>
    <w:rsid w:val="008F6F1D"/>
    <w:rsid w:val="008F7141"/>
    <w:rsid w:val="008F7321"/>
    <w:rsid w:val="008F7A0A"/>
    <w:rsid w:val="008F7D63"/>
    <w:rsid w:val="00900AEA"/>
    <w:rsid w:val="00900CDD"/>
    <w:rsid w:val="00900F63"/>
    <w:rsid w:val="00901115"/>
    <w:rsid w:val="00901301"/>
    <w:rsid w:val="0090174A"/>
    <w:rsid w:val="00901F7E"/>
    <w:rsid w:val="009024A0"/>
    <w:rsid w:val="0090250F"/>
    <w:rsid w:val="00902538"/>
    <w:rsid w:val="00902B9E"/>
    <w:rsid w:val="00902D34"/>
    <w:rsid w:val="009034AE"/>
    <w:rsid w:val="00903DB2"/>
    <w:rsid w:val="00904239"/>
    <w:rsid w:val="00904577"/>
    <w:rsid w:val="009049CA"/>
    <w:rsid w:val="009049F9"/>
    <w:rsid w:val="00904CF5"/>
    <w:rsid w:val="00904FE4"/>
    <w:rsid w:val="009059B8"/>
    <w:rsid w:val="00905A27"/>
    <w:rsid w:val="00905E99"/>
    <w:rsid w:val="00906407"/>
    <w:rsid w:val="009064CA"/>
    <w:rsid w:val="00906597"/>
    <w:rsid w:val="00906A99"/>
    <w:rsid w:val="00906CEF"/>
    <w:rsid w:val="00906D76"/>
    <w:rsid w:val="00906D82"/>
    <w:rsid w:val="00906EDD"/>
    <w:rsid w:val="00906F52"/>
    <w:rsid w:val="00907106"/>
    <w:rsid w:val="00907673"/>
    <w:rsid w:val="00907A84"/>
    <w:rsid w:val="00907C1A"/>
    <w:rsid w:val="009104AA"/>
    <w:rsid w:val="009106AF"/>
    <w:rsid w:val="00910D44"/>
    <w:rsid w:val="009113DC"/>
    <w:rsid w:val="00911B5C"/>
    <w:rsid w:val="00912072"/>
    <w:rsid w:val="009123AA"/>
    <w:rsid w:val="00912687"/>
    <w:rsid w:val="0091268F"/>
    <w:rsid w:val="00912867"/>
    <w:rsid w:val="00912EE6"/>
    <w:rsid w:val="00912FC0"/>
    <w:rsid w:val="00913297"/>
    <w:rsid w:val="009141CA"/>
    <w:rsid w:val="0091429C"/>
    <w:rsid w:val="009153F0"/>
    <w:rsid w:val="0091560F"/>
    <w:rsid w:val="00915A3D"/>
    <w:rsid w:val="00915A70"/>
    <w:rsid w:val="00915F26"/>
    <w:rsid w:val="009160B5"/>
    <w:rsid w:val="00916439"/>
    <w:rsid w:val="00916629"/>
    <w:rsid w:val="00916676"/>
    <w:rsid w:val="0091670A"/>
    <w:rsid w:val="00916B80"/>
    <w:rsid w:val="00917687"/>
    <w:rsid w:val="009179AE"/>
    <w:rsid w:val="00917C2F"/>
    <w:rsid w:val="00920A3D"/>
    <w:rsid w:val="00920CA9"/>
    <w:rsid w:val="00921927"/>
    <w:rsid w:val="009220AE"/>
    <w:rsid w:val="00922342"/>
    <w:rsid w:val="0092243F"/>
    <w:rsid w:val="009236C6"/>
    <w:rsid w:val="0092372F"/>
    <w:rsid w:val="00923F14"/>
    <w:rsid w:val="00924574"/>
    <w:rsid w:val="00924B4B"/>
    <w:rsid w:val="00924C6E"/>
    <w:rsid w:val="00924E28"/>
    <w:rsid w:val="00924F19"/>
    <w:rsid w:val="009257B8"/>
    <w:rsid w:val="009265E2"/>
    <w:rsid w:val="00926951"/>
    <w:rsid w:val="00926A44"/>
    <w:rsid w:val="00926FB8"/>
    <w:rsid w:val="009272C3"/>
    <w:rsid w:val="009273D8"/>
    <w:rsid w:val="0092767E"/>
    <w:rsid w:val="009303F9"/>
    <w:rsid w:val="00930644"/>
    <w:rsid w:val="009306B6"/>
    <w:rsid w:val="00931069"/>
    <w:rsid w:val="009314BF"/>
    <w:rsid w:val="009315E4"/>
    <w:rsid w:val="0093167A"/>
    <w:rsid w:val="0093195F"/>
    <w:rsid w:val="00931C73"/>
    <w:rsid w:val="00931D4E"/>
    <w:rsid w:val="00932175"/>
    <w:rsid w:val="00932E79"/>
    <w:rsid w:val="00933005"/>
    <w:rsid w:val="00933305"/>
    <w:rsid w:val="00933509"/>
    <w:rsid w:val="0093356C"/>
    <w:rsid w:val="0093368D"/>
    <w:rsid w:val="0093389B"/>
    <w:rsid w:val="00933D25"/>
    <w:rsid w:val="009341F1"/>
    <w:rsid w:val="009344EC"/>
    <w:rsid w:val="009346D0"/>
    <w:rsid w:val="009348B5"/>
    <w:rsid w:val="00934C6F"/>
    <w:rsid w:val="009359E8"/>
    <w:rsid w:val="00935D7A"/>
    <w:rsid w:val="00935FDD"/>
    <w:rsid w:val="0093693C"/>
    <w:rsid w:val="00936990"/>
    <w:rsid w:val="00936E45"/>
    <w:rsid w:val="00937455"/>
    <w:rsid w:val="0093759B"/>
    <w:rsid w:val="009377C6"/>
    <w:rsid w:val="009377CE"/>
    <w:rsid w:val="00937BBB"/>
    <w:rsid w:val="0094062F"/>
    <w:rsid w:val="00940BA1"/>
    <w:rsid w:val="00941D85"/>
    <w:rsid w:val="0094207C"/>
    <w:rsid w:val="009422A3"/>
    <w:rsid w:val="009423F0"/>
    <w:rsid w:val="0094276E"/>
    <w:rsid w:val="009428CC"/>
    <w:rsid w:val="00942989"/>
    <w:rsid w:val="00942E07"/>
    <w:rsid w:val="009431EF"/>
    <w:rsid w:val="00943370"/>
    <w:rsid w:val="00943582"/>
    <w:rsid w:val="009436CE"/>
    <w:rsid w:val="00943B46"/>
    <w:rsid w:val="00943C2C"/>
    <w:rsid w:val="00944087"/>
    <w:rsid w:val="00944787"/>
    <w:rsid w:val="00944A10"/>
    <w:rsid w:val="00944D4D"/>
    <w:rsid w:val="00944EF4"/>
    <w:rsid w:val="00945E3D"/>
    <w:rsid w:val="00946023"/>
    <w:rsid w:val="009474CE"/>
    <w:rsid w:val="00947B0D"/>
    <w:rsid w:val="00950C78"/>
    <w:rsid w:val="00951D8B"/>
    <w:rsid w:val="00951EB5"/>
    <w:rsid w:val="00952114"/>
    <w:rsid w:val="009525B0"/>
    <w:rsid w:val="009525DE"/>
    <w:rsid w:val="00952C0C"/>
    <w:rsid w:val="00952CF9"/>
    <w:rsid w:val="00953393"/>
    <w:rsid w:val="0095348E"/>
    <w:rsid w:val="00953828"/>
    <w:rsid w:val="00953962"/>
    <w:rsid w:val="00954C46"/>
    <w:rsid w:val="00955659"/>
    <w:rsid w:val="00955A66"/>
    <w:rsid w:val="00955EB3"/>
    <w:rsid w:val="00955F3D"/>
    <w:rsid w:val="0095651B"/>
    <w:rsid w:val="00956AD7"/>
    <w:rsid w:val="009570EA"/>
    <w:rsid w:val="009573DF"/>
    <w:rsid w:val="0095786A"/>
    <w:rsid w:val="00960340"/>
    <w:rsid w:val="009604E0"/>
    <w:rsid w:val="00960742"/>
    <w:rsid w:val="00960F74"/>
    <w:rsid w:val="00961201"/>
    <w:rsid w:val="00961D85"/>
    <w:rsid w:val="00962ACA"/>
    <w:rsid w:val="00962EDD"/>
    <w:rsid w:val="00963955"/>
    <w:rsid w:val="00964730"/>
    <w:rsid w:val="00964E03"/>
    <w:rsid w:val="0096559F"/>
    <w:rsid w:val="00965671"/>
    <w:rsid w:val="009657A9"/>
    <w:rsid w:val="00965920"/>
    <w:rsid w:val="00966302"/>
    <w:rsid w:val="00966491"/>
    <w:rsid w:val="0096713C"/>
    <w:rsid w:val="00967149"/>
    <w:rsid w:val="009678D6"/>
    <w:rsid w:val="00967B56"/>
    <w:rsid w:val="00967E20"/>
    <w:rsid w:val="00967E51"/>
    <w:rsid w:val="0097006B"/>
    <w:rsid w:val="009700C6"/>
    <w:rsid w:val="00970261"/>
    <w:rsid w:val="0097079C"/>
    <w:rsid w:val="00970DC2"/>
    <w:rsid w:val="0097133C"/>
    <w:rsid w:val="00971C96"/>
    <w:rsid w:val="00971D41"/>
    <w:rsid w:val="00972071"/>
    <w:rsid w:val="009722E4"/>
    <w:rsid w:val="009726E6"/>
    <w:rsid w:val="009728AA"/>
    <w:rsid w:val="00972A68"/>
    <w:rsid w:val="00972EE0"/>
    <w:rsid w:val="00972FC1"/>
    <w:rsid w:val="0097344F"/>
    <w:rsid w:val="00973535"/>
    <w:rsid w:val="00974826"/>
    <w:rsid w:val="00974C1A"/>
    <w:rsid w:val="00974E03"/>
    <w:rsid w:val="009754B4"/>
    <w:rsid w:val="009757F5"/>
    <w:rsid w:val="00975860"/>
    <w:rsid w:val="00975864"/>
    <w:rsid w:val="00975EB6"/>
    <w:rsid w:val="00976071"/>
    <w:rsid w:val="009763A7"/>
    <w:rsid w:val="00976AAD"/>
    <w:rsid w:val="00977145"/>
    <w:rsid w:val="00977152"/>
    <w:rsid w:val="00977784"/>
    <w:rsid w:val="00977C6B"/>
    <w:rsid w:val="00980396"/>
    <w:rsid w:val="0098053C"/>
    <w:rsid w:val="00980D3F"/>
    <w:rsid w:val="0098104B"/>
    <w:rsid w:val="00981745"/>
    <w:rsid w:val="009825B1"/>
    <w:rsid w:val="00982BF3"/>
    <w:rsid w:val="00982CBE"/>
    <w:rsid w:val="00982CC8"/>
    <w:rsid w:val="00983233"/>
    <w:rsid w:val="00983644"/>
    <w:rsid w:val="0098464E"/>
    <w:rsid w:val="009847E7"/>
    <w:rsid w:val="00984DBE"/>
    <w:rsid w:val="009851AD"/>
    <w:rsid w:val="009858F2"/>
    <w:rsid w:val="0098600E"/>
    <w:rsid w:val="00986160"/>
    <w:rsid w:val="0098682A"/>
    <w:rsid w:val="00986D9B"/>
    <w:rsid w:val="0098796B"/>
    <w:rsid w:val="00987C4F"/>
    <w:rsid w:val="00987E9A"/>
    <w:rsid w:val="00987EFE"/>
    <w:rsid w:val="0099109C"/>
    <w:rsid w:val="00991A95"/>
    <w:rsid w:val="00991B29"/>
    <w:rsid w:val="00991E0D"/>
    <w:rsid w:val="00992D46"/>
    <w:rsid w:val="0099402D"/>
    <w:rsid w:val="009944FE"/>
    <w:rsid w:val="009951F2"/>
    <w:rsid w:val="009954CB"/>
    <w:rsid w:val="00995568"/>
    <w:rsid w:val="00995A3A"/>
    <w:rsid w:val="00995B87"/>
    <w:rsid w:val="00995E1A"/>
    <w:rsid w:val="0099614C"/>
    <w:rsid w:val="00996154"/>
    <w:rsid w:val="00996302"/>
    <w:rsid w:val="00996683"/>
    <w:rsid w:val="00996846"/>
    <w:rsid w:val="0099689F"/>
    <w:rsid w:val="00996B31"/>
    <w:rsid w:val="00996E4B"/>
    <w:rsid w:val="00996EA2"/>
    <w:rsid w:val="00996F18"/>
    <w:rsid w:val="009972BF"/>
    <w:rsid w:val="009977A4"/>
    <w:rsid w:val="0099784D"/>
    <w:rsid w:val="00997DBE"/>
    <w:rsid w:val="009A0252"/>
    <w:rsid w:val="009A02E4"/>
    <w:rsid w:val="009A0570"/>
    <w:rsid w:val="009A0B45"/>
    <w:rsid w:val="009A0CD0"/>
    <w:rsid w:val="009A1734"/>
    <w:rsid w:val="009A177F"/>
    <w:rsid w:val="009A17BA"/>
    <w:rsid w:val="009A17E2"/>
    <w:rsid w:val="009A180C"/>
    <w:rsid w:val="009A2099"/>
    <w:rsid w:val="009A233C"/>
    <w:rsid w:val="009A2395"/>
    <w:rsid w:val="009A359E"/>
    <w:rsid w:val="009A38E4"/>
    <w:rsid w:val="009A3AA1"/>
    <w:rsid w:val="009A3BBD"/>
    <w:rsid w:val="009A3BFA"/>
    <w:rsid w:val="009A3F98"/>
    <w:rsid w:val="009A3FDB"/>
    <w:rsid w:val="009A4CA6"/>
    <w:rsid w:val="009A6AC0"/>
    <w:rsid w:val="009A6D73"/>
    <w:rsid w:val="009A6F44"/>
    <w:rsid w:val="009A6FBA"/>
    <w:rsid w:val="009A7025"/>
    <w:rsid w:val="009A71B1"/>
    <w:rsid w:val="009A7BF4"/>
    <w:rsid w:val="009A7E92"/>
    <w:rsid w:val="009A7F33"/>
    <w:rsid w:val="009A7F56"/>
    <w:rsid w:val="009B0235"/>
    <w:rsid w:val="009B0B3A"/>
    <w:rsid w:val="009B0CBE"/>
    <w:rsid w:val="009B1166"/>
    <w:rsid w:val="009B2155"/>
    <w:rsid w:val="009B2F61"/>
    <w:rsid w:val="009B3B83"/>
    <w:rsid w:val="009B3D4A"/>
    <w:rsid w:val="009B3E06"/>
    <w:rsid w:val="009B4A29"/>
    <w:rsid w:val="009B5342"/>
    <w:rsid w:val="009B5B7A"/>
    <w:rsid w:val="009B61B1"/>
    <w:rsid w:val="009B6972"/>
    <w:rsid w:val="009B715A"/>
    <w:rsid w:val="009B71A9"/>
    <w:rsid w:val="009B71EE"/>
    <w:rsid w:val="009C0238"/>
    <w:rsid w:val="009C0BC3"/>
    <w:rsid w:val="009C0DE0"/>
    <w:rsid w:val="009C1020"/>
    <w:rsid w:val="009C155A"/>
    <w:rsid w:val="009C15B4"/>
    <w:rsid w:val="009C19A4"/>
    <w:rsid w:val="009C2102"/>
    <w:rsid w:val="009C255F"/>
    <w:rsid w:val="009C3040"/>
    <w:rsid w:val="009C30C4"/>
    <w:rsid w:val="009C3121"/>
    <w:rsid w:val="009C347D"/>
    <w:rsid w:val="009C37C0"/>
    <w:rsid w:val="009C3ABF"/>
    <w:rsid w:val="009C3CFC"/>
    <w:rsid w:val="009C3D54"/>
    <w:rsid w:val="009C461A"/>
    <w:rsid w:val="009C4A63"/>
    <w:rsid w:val="009C4CC2"/>
    <w:rsid w:val="009C4D33"/>
    <w:rsid w:val="009C5729"/>
    <w:rsid w:val="009C5D20"/>
    <w:rsid w:val="009C5E48"/>
    <w:rsid w:val="009C7231"/>
    <w:rsid w:val="009C725A"/>
    <w:rsid w:val="009C772F"/>
    <w:rsid w:val="009D0233"/>
    <w:rsid w:val="009D0787"/>
    <w:rsid w:val="009D0A40"/>
    <w:rsid w:val="009D17E9"/>
    <w:rsid w:val="009D1B77"/>
    <w:rsid w:val="009D230C"/>
    <w:rsid w:val="009D2814"/>
    <w:rsid w:val="009D2E75"/>
    <w:rsid w:val="009D33B5"/>
    <w:rsid w:val="009D362F"/>
    <w:rsid w:val="009D379A"/>
    <w:rsid w:val="009D37F4"/>
    <w:rsid w:val="009D4026"/>
    <w:rsid w:val="009D4539"/>
    <w:rsid w:val="009D4E57"/>
    <w:rsid w:val="009D5221"/>
    <w:rsid w:val="009D5C67"/>
    <w:rsid w:val="009D5F15"/>
    <w:rsid w:val="009D5FC3"/>
    <w:rsid w:val="009D7A86"/>
    <w:rsid w:val="009E039C"/>
    <w:rsid w:val="009E091E"/>
    <w:rsid w:val="009E0D14"/>
    <w:rsid w:val="009E1CE0"/>
    <w:rsid w:val="009E200B"/>
    <w:rsid w:val="009E2F69"/>
    <w:rsid w:val="009E3AA0"/>
    <w:rsid w:val="009E3AAC"/>
    <w:rsid w:val="009E3E04"/>
    <w:rsid w:val="009E5124"/>
    <w:rsid w:val="009E55FE"/>
    <w:rsid w:val="009E56DC"/>
    <w:rsid w:val="009E5D93"/>
    <w:rsid w:val="009E5FC5"/>
    <w:rsid w:val="009E60BB"/>
    <w:rsid w:val="009E6BF1"/>
    <w:rsid w:val="009E6D01"/>
    <w:rsid w:val="009E7118"/>
    <w:rsid w:val="009E7707"/>
    <w:rsid w:val="009E7A73"/>
    <w:rsid w:val="009E7C10"/>
    <w:rsid w:val="009F0544"/>
    <w:rsid w:val="009F0581"/>
    <w:rsid w:val="009F089C"/>
    <w:rsid w:val="009F11F3"/>
    <w:rsid w:val="009F135E"/>
    <w:rsid w:val="009F1420"/>
    <w:rsid w:val="009F1882"/>
    <w:rsid w:val="009F2714"/>
    <w:rsid w:val="009F283F"/>
    <w:rsid w:val="009F3494"/>
    <w:rsid w:val="009F3645"/>
    <w:rsid w:val="009F38BE"/>
    <w:rsid w:val="009F4386"/>
    <w:rsid w:val="009F45A6"/>
    <w:rsid w:val="009F4643"/>
    <w:rsid w:val="009F4960"/>
    <w:rsid w:val="009F4CC8"/>
    <w:rsid w:val="009F4E26"/>
    <w:rsid w:val="009F592C"/>
    <w:rsid w:val="009F6596"/>
    <w:rsid w:val="009F6797"/>
    <w:rsid w:val="009F6D7A"/>
    <w:rsid w:val="009F6E16"/>
    <w:rsid w:val="009F7534"/>
    <w:rsid w:val="009F7869"/>
    <w:rsid w:val="009F7A69"/>
    <w:rsid w:val="00A00575"/>
    <w:rsid w:val="00A01650"/>
    <w:rsid w:val="00A02354"/>
    <w:rsid w:val="00A02372"/>
    <w:rsid w:val="00A023CE"/>
    <w:rsid w:val="00A02CD2"/>
    <w:rsid w:val="00A031A5"/>
    <w:rsid w:val="00A0387A"/>
    <w:rsid w:val="00A038B7"/>
    <w:rsid w:val="00A039BC"/>
    <w:rsid w:val="00A044E9"/>
    <w:rsid w:val="00A04967"/>
    <w:rsid w:val="00A04D43"/>
    <w:rsid w:val="00A04EF5"/>
    <w:rsid w:val="00A05077"/>
    <w:rsid w:val="00A05332"/>
    <w:rsid w:val="00A055DD"/>
    <w:rsid w:val="00A05C8E"/>
    <w:rsid w:val="00A06512"/>
    <w:rsid w:val="00A06756"/>
    <w:rsid w:val="00A0717D"/>
    <w:rsid w:val="00A07327"/>
    <w:rsid w:val="00A0796F"/>
    <w:rsid w:val="00A07CDE"/>
    <w:rsid w:val="00A10182"/>
    <w:rsid w:val="00A1026B"/>
    <w:rsid w:val="00A106E0"/>
    <w:rsid w:val="00A1072A"/>
    <w:rsid w:val="00A10846"/>
    <w:rsid w:val="00A1135C"/>
    <w:rsid w:val="00A11B38"/>
    <w:rsid w:val="00A11CDF"/>
    <w:rsid w:val="00A12C46"/>
    <w:rsid w:val="00A1311D"/>
    <w:rsid w:val="00A131A0"/>
    <w:rsid w:val="00A134B2"/>
    <w:rsid w:val="00A13528"/>
    <w:rsid w:val="00A13E28"/>
    <w:rsid w:val="00A13FFC"/>
    <w:rsid w:val="00A14592"/>
    <w:rsid w:val="00A14668"/>
    <w:rsid w:val="00A14841"/>
    <w:rsid w:val="00A14C3B"/>
    <w:rsid w:val="00A151C5"/>
    <w:rsid w:val="00A152AF"/>
    <w:rsid w:val="00A15788"/>
    <w:rsid w:val="00A15869"/>
    <w:rsid w:val="00A15CDE"/>
    <w:rsid w:val="00A16DC0"/>
    <w:rsid w:val="00A1718E"/>
    <w:rsid w:val="00A178D6"/>
    <w:rsid w:val="00A2058C"/>
    <w:rsid w:val="00A21473"/>
    <w:rsid w:val="00A22727"/>
    <w:rsid w:val="00A227E3"/>
    <w:rsid w:val="00A22C54"/>
    <w:rsid w:val="00A22D15"/>
    <w:rsid w:val="00A22DF8"/>
    <w:rsid w:val="00A233E2"/>
    <w:rsid w:val="00A2352D"/>
    <w:rsid w:val="00A23553"/>
    <w:rsid w:val="00A23881"/>
    <w:rsid w:val="00A23ED1"/>
    <w:rsid w:val="00A241B0"/>
    <w:rsid w:val="00A247E6"/>
    <w:rsid w:val="00A24C45"/>
    <w:rsid w:val="00A24C56"/>
    <w:rsid w:val="00A2565B"/>
    <w:rsid w:val="00A2594F"/>
    <w:rsid w:val="00A2649F"/>
    <w:rsid w:val="00A277C9"/>
    <w:rsid w:val="00A300BF"/>
    <w:rsid w:val="00A30225"/>
    <w:rsid w:val="00A30767"/>
    <w:rsid w:val="00A30A93"/>
    <w:rsid w:val="00A317D9"/>
    <w:rsid w:val="00A31A3F"/>
    <w:rsid w:val="00A31CCC"/>
    <w:rsid w:val="00A31CD7"/>
    <w:rsid w:val="00A32342"/>
    <w:rsid w:val="00A32570"/>
    <w:rsid w:val="00A32581"/>
    <w:rsid w:val="00A32605"/>
    <w:rsid w:val="00A33073"/>
    <w:rsid w:val="00A33186"/>
    <w:rsid w:val="00A33293"/>
    <w:rsid w:val="00A335AD"/>
    <w:rsid w:val="00A33EDE"/>
    <w:rsid w:val="00A34118"/>
    <w:rsid w:val="00A34650"/>
    <w:rsid w:val="00A34C41"/>
    <w:rsid w:val="00A35526"/>
    <w:rsid w:val="00A35956"/>
    <w:rsid w:val="00A35A65"/>
    <w:rsid w:val="00A35DAB"/>
    <w:rsid w:val="00A3758C"/>
    <w:rsid w:val="00A37664"/>
    <w:rsid w:val="00A37CFB"/>
    <w:rsid w:val="00A402F3"/>
    <w:rsid w:val="00A4060A"/>
    <w:rsid w:val="00A40E53"/>
    <w:rsid w:val="00A41389"/>
    <w:rsid w:val="00A42038"/>
    <w:rsid w:val="00A4206B"/>
    <w:rsid w:val="00A429E6"/>
    <w:rsid w:val="00A42CB3"/>
    <w:rsid w:val="00A433E1"/>
    <w:rsid w:val="00A43F2E"/>
    <w:rsid w:val="00A44498"/>
    <w:rsid w:val="00A444D5"/>
    <w:rsid w:val="00A44A14"/>
    <w:rsid w:val="00A44B54"/>
    <w:rsid w:val="00A44B66"/>
    <w:rsid w:val="00A44D0B"/>
    <w:rsid w:val="00A44DFE"/>
    <w:rsid w:val="00A45363"/>
    <w:rsid w:val="00A45CB0"/>
    <w:rsid w:val="00A463FB"/>
    <w:rsid w:val="00A46EF3"/>
    <w:rsid w:val="00A4716D"/>
    <w:rsid w:val="00A47197"/>
    <w:rsid w:val="00A475D5"/>
    <w:rsid w:val="00A47650"/>
    <w:rsid w:val="00A476F6"/>
    <w:rsid w:val="00A479CC"/>
    <w:rsid w:val="00A47AD0"/>
    <w:rsid w:val="00A47AE5"/>
    <w:rsid w:val="00A47C7E"/>
    <w:rsid w:val="00A5000B"/>
    <w:rsid w:val="00A5074C"/>
    <w:rsid w:val="00A50A56"/>
    <w:rsid w:val="00A50B57"/>
    <w:rsid w:val="00A50D02"/>
    <w:rsid w:val="00A50E65"/>
    <w:rsid w:val="00A511F9"/>
    <w:rsid w:val="00A51250"/>
    <w:rsid w:val="00A51405"/>
    <w:rsid w:val="00A51575"/>
    <w:rsid w:val="00A516E3"/>
    <w:rsid w:val="00A5226E"/>
    <w:rsid w:val="00A52322"/>
    <w:rsid w:val="00A52CCE"/>
    <w:rsid w:val="00A53607"/>
    <w:rsid w:val="00A54131"/>
    <w:rsid w:val="00A5480A"/>
    <w:rsid w:val="00A54E6B"/>
    <w:rsid w:val="00A55529"/>
    <w:rsid w:val="00A5560C"/>
    <w:rsid w:val="00A557BB"/>
    <w:rsid w:val="00A557FA"/>
    <w:rsid w:val="00A55D3A"/>
    <w:rsid w:val="00A56056"/>
    <w:rsid w:val="00A56174"/>
    <w:rsid w:val="00A5629B"/>
    <w:rsid w:val="00A564B6"/>
    <w:rsid w:val="00A564BE"/>
    <w:rsid w:val="00A56531"/>
    <w:rsid w:val="00A565C9"/>
    <w:rsid w:val="00A565E1"/>
    <w:rsid w:val="00A56946"/>
    <w:rsid w:val="00A56A84"/>
    <w:rsid w:val="00A56F94"/>
    <w:rsid w:val="00A570AC"/>
    <w:rsid w:val="00A571C7"/>
    <w:rsid w:val="00A57952"/>
    <w:rsid w:val="00A610BC"/>
    <w:rsid w:val="00A618EB"/>
    <w:rsid w:val="00A61CE8"/>
    <w:rsid w:val="00A61E89"/>
    <w:rsid w:val="00A622A2"/>
    <w:rsid w:val="00A62450"/>
    <w:rsid w:val="00A62A32"/>
    <w:rsid w:val="00A638D2"/>
    <w:rsid w:val="00A638D9"/>
    <w:rsid w:val="00A63C15"/>
    <w:rsid w:val="00A643F9"/>
    <w:rsid w:val="00A6455D"/>
    <w:rsid w:val="00A647D4"/>
    <w:rsid w:val="00A64FF4"/>
    <w:rsid w:val="00A65850"/>
    <w:rsid w:val="00A66FF3"/>
    <w:rsid w:val="00A670B2"/>
    <w:rsid w:val="00A6738E"/>
    <w:rsid w:val="00A67724"/>
    <w:rsid w:val="00A70217"/>
    <w:rsid w:val="00A70287"/>
    <w:rsid w:val="00A70593"/>
    <w:rsid w:val="00A7063B"/>
    <w:rsid w:val="00A70641"/>
    <w:rsid w:val="00A70CF7"/>
    <w:rsid w:val="00A70E84"/>
    <w:rsid w:val="00A7109F"/>
    <w:rsid w:val="00A715D7"/>
    <w:rsid w:val="00A71812"/>
    <w:rsid w:val="00A71CBA"/>
    <w:rsid w:val="00A71ED7"/>
    <w:rsid w:val="00A71FF0"/>
    <w:rsid w:val="00A723BF"/>
    <w:rsid w:val="00A72573"/>
    <w:rsid w:val="00A73084"/>
    <w:rsid w:val="00A73EB3"/>
    <w:rsid w:val="00A73F8F"/>
    <w:rsid w:val="00A7420E"/>
    <w:rsid w:val="00A74B50"/>
    <w:rsid w:val="00A74E4A"/>
    <w:rsid w:val="00A75B9A"/>
    <w:rsid w:val="00A760AF"/>
    <w:rsid w:val="00A7683B"/>
    <w:rsid w:val="00A76C38"/>
    <w:rsid w:val="00A76CB8"/>
    <w:rsid w:val="00A77512"/>
    <w:rsid w:val="00A77A3E"/>
    <w:rsid w:val="00A77A98"/>
    <w:rsid w:val="00A80137"/>
    <w:rsid w:val="00A80352"/>
    <w:rsid w:val="00A80461"/>
    <w:rsid w:val="00A811A5"/>
    <w:rsid w:val="00A81245"/>
    <w:rsid w:val="00A816D7"/>
    <w:rsid w:val="00A816DC"/>
    <w:rsid w:val="00A8233E"/>
    <w:rsid w:val="00A82BBA"/>
    <w:rsid w:val="00A82EE7"/>
    <w:rsid w:val="00A8339A"/>
    <w:rsid w:val="00A833A7"/>
    <w:rsid w:val="00A8340F"/>
    <w:rsid w:val="00A83604"/>
    <w:rsid w:val="00A83DAC"/>
    <w:rsid w:val="00A845FC"/>
    <w:rsid w:val="00A84D3A"/>
    <w:rsid w:val="00A8546F"/>
    <w:rsid w:val="00A85598"/>
    <w:rsid w:val="00A8621D"/>
    <w:rsid w:val="00A86A94"/>
    <w:rsid w:val="00A86AB5"/>
    <w:rsid w:val="00A86C63"/>
    <w:rsid w:val="00A86ED4"/>
    <w:rsid w:val="00A870DA"/>
    <w:rsid w:val="00A87255"/>
    <w:rsid w:val="00A87691"/>
    <w:rsid w:val="00A879A2"/>
    <w:rsid w:val="00A90210"/>
    <w:rsid w:val="00A90668"/>
    <w:rsid w:val="00A90948"/>
    <w:rsid w:val="00A90A27"/>
    <w:rsid w:val="00A90FAC"/>
    <w:rsid w:val="00A92021"/>
    <w:rsid w:val="00A9222F"/>
    <w:rsid w:val="00A9225C"/>
    <w:rsid w:val="00A92291"/>
    <w:rsid w:val="00A93061"/>
    <w:rsid w:val="00A9382A"/>
    <w:rsid w:val="00A93BC6"/>
    <w:rsid w:val="00A941FD"/>
    <w:rsid w:val="00A942A2"/>
    <w:rsid w:val="00A9483C"/>
    <w:rsid w:val="00A94944"/>
    <w:rsid w:val="00A94A26"/>
    <w:rsid w:val="00A94C46"/>
    <w:rsid w:val="00A950D6"/>
    <w:rsid w:val="00A95451"/>
    <w:rsid w:val="00A955B3"/>
    <w:rsid w:val="00A95918"/>
    <w:rsid w:val="00A95D2D"/>
    <w:rsid w:val="00A9614D"/>
    <w:rsid w:val="00A964A8"/>
    <w:rsid w:val="00A979AA"/>
    <w:rsid w:val="00A97FB7"/>
    <w:rsid w:val="00AA00CD"/>
    <w:rsid w:val="00AA030E"/>
    <w:rsid w:val="00AA04B4"/>
    <w:rsid w:val="00AA0816"/>
    <w:rsid w:val="00AA09F2"/>
    <w:rsid w:val="00AA0B67"/>
    <w:rsid w:val="00AA0C11"/>
    <w:rsid w:val="00AA0CEE"/>
    <w:rsid w:val="00AA0EB6"/>
    <w:rsid w:val="00AA1157"/>
    <w:rsid w:val="00AA11D6"/>
    <w:rsid w:val="00AA1748"/>
    <w:rsid w:val="00AA1816"/>
    <w:rsid w:val="00AA1A15"/>
    <w:rsid w:val="00AA1CD3"/>
    <w:rsid w:val="00AA1E0B"/>
    <w:rsid w:val="00AA2706"/>
    <w:rsid w:val="00AA28A9"/>
    <w:rsid w:val="00AA2AFE"/>
    <w:rsid w:val="00AA2D26"/>
    <w:rsid w:val="00AA321B"/>
    <w:rsid w:val="00AA388F"/>
    <w:rsid w:val="00AA3A5B"/>
    <w:rsid w:val="00AA4279"/>
    <w:rsid w:val="00AA486F"/>
    <w:rsid w:val="00AA4BCD"/>
    <w:rsid w:val="00AA4D93"/>
    <w:rsid w:val="00AA5228"/>
    <w:rsid w:val="00AA5E72"/>
    <w:rsid w:val="00AA5F60"/>
    <w:rsid w:val="00AA60D0"/>
    <w:rsid w:val="00AA634F"/>
    <w:rsid w:val="00AA640A"/>
    <w:rsid w:val="00AA7CE4"/>
    <w:rsid w:val="00AA7D1F"/>
    <w:rsid w:val="00AB0413"/>
    <w:rsid w:val="00AB06B9"/>
    <w:rsid w:val="00AB072D"/>
    <w:rsid w:val="00AB0817"/>
    <w:rsid w:val="00AB08DF"/>
    <w:rsid w:val="00AB10AB"/>
    <w:rsid w:val="00AB146F"/>
    <w:rsid w:val="00AB19C4"/>
    <w:rsid w:val="00AB1A66"/>
    <w:rsid w:val="00AB1F1A"/>
    <w:rsid w:val="00AB2887"/>
    <w:rsid w:val="00AB2928"/>
    <w:rsid w:val="00AB2FB1"/>
    <w:rsid w:val="00AB32BD"/>
    <w:rsid w:val="00AB3620"/>
    <w:rsid w:val="00AB39DD"/>
    <w:rsid w:val="00AB39EB"/>
    <w:rsid w:val="00AB3C2A"/>
    <w:rsid w:val="00AB4102"/>
    <w:rsid w:val="00AB4173"/>
    <w:rsid w:val="00AB5AF7"/>
    <w:rsid w:val="00AB62E8"/>
    <w:rsid w:val="00AB6AC5"/>
    <w:rsid w:val="00AB6B8A"/>
    <w:rsid w:val="00AB6D63"/>
    <w:rsid w:val="00AB7327"/>
    <w:rsid w:val="00AB7379"/>
    <w:rsid w:val="00AB762D"/>
    <w:rsid w:val="00AB789A"/>
    <w:rsid w:val="00AC0049"/>
    <w:rsid w:val="00AC0361"/>
    <w:rsid w:val="00AC06D9"/>
    <w:rsid w:val="00AC0A47"/>
    <w:rsid w:val="00AC0D22"/>
    <w:rsid w:val="00AC201C"/>
    <w:rsid w:val="00AC2C48"/>
    <w:rsid w:val="00AC3219"/>
    <w:rsid w:val="00AC33C3"/>
    <w:rsid w:val="00AC35CC"/>
    <w:rsid w:val="00AC3B8A"/>
    <w:rsid w:val="00AC410F"/>
    <w:rsid w:val="00AC48B9"/>
    <w:rsid w:val="00AC4EB7"/>
    <w:rsid w:val="00AC52F3"/>
    <w:rsid w:val="00AC54F2"/>
    <w:rsid w:val="00AC55BF"/>
    <w:rsid w:val="00AC592C"/>
    <w:rsid w:val="00AC5BBE"/>
    <w:rsid w:val="00AC5BF5"/>
    <w:rsid w:val="00AC67C5"/>
    <w:rsid w:val="00AC6E2C"/>
    <w:rsid w:val="00AC772B"/>
    <w:rsid w:val="00AC7A80"/>
    <w:rsid w:val="00AC7ED2"/>
    <w:rsid w:val="00AD0358"/>
    <w:rsid w:val="00AD0436"/>
    <w:rsid w:val="00AD0B86"/>
    <w:rsid w:val="00AD0B97"/>
    <w:rsid w:val="00AD10BB"/>
    <w:rsid w:val="00AD1402"/>
    <w:rsid w:val="00AD182B"/>
    <w:rsid w:val="00AD1D00"/>
    <w:rsid w:val="00AD22CA"/>
    <w:rsid w:val="00AD30FB"/>
    <w:rsid w:val="00AD3175"/>
    <w:rsid w:val="00AD3279"/>
    <w:rsid w:val="00AD3295"/>
    <w:rsid w:val="00AD338F"/>
    <w:rsid w:val="00AD3864"/>
    <w:rsid w:val="00AD3CCC"/>
    <w:rsid w:val="00AD3D42"/>
    <w:rsid w:val="00AD3FCC"/>
    <w:rsid w:val="00AD4089"/>
    <w:rsid w:val="00AD4154"/>
    <w:rsid w:val="00AD489C"/>
    <w:rsid w:val="00AD4919"/>
    <w:rsid w:val="00AD498A"/>
    <w:rsid w:val="00AD4D4E"/>
    <w:rsid w:val="00AD4EAE"/>
    <w:rsid w:val="00AD569F"/>
    <w:rsid w:val="00AD5BC5"/>
    <w:rsid w:val="00AD5DE1"/>
    <w:rsid w:val="00AD68AD"/>
    <w:rsid w:val="00AD6A96"/>
    <w:rsid w:val="00AD6CB4"/>
    <w:rsid w:val="00AD6F11"/>
    <w:rsid w:val="00AD74E9"/>
    <w:rsid w:val="00AD754E"/>
    <w:rsid w:val="00AD76E0"/>
    <w:rsid w:val="00AD784F"/>
    <w:rsid w:val="00AD7A10"/>
    <w:rsid w:val="00AD7D4D"/>
    <w:rsid w:val="00AE0382"/>
    <w:rsid w:val="00AE0780"/>
    <w:rsid w:val="00AE0995"/>
    <w:rsid w:val="00AE1974"/>
    <w:rsid w:val="00AE1E9C"/>
    <w:rsid w:val="00AE1EE4"/>
    <w:rsid w:val="00AE22B8"/>
    <w:rsid w:val="00AE2436"/>
    <w:rsid w:val="00AE2F75"/>
    <w:rsid w:val="00AE308C"/>
    <w:rsid w:val="00AE32DE"/>
    <w:rsid w:val="00AE39EF"/>
    <w:rsid w:val="00AE3C9D"/>
    <w:rsid w:val="00AE4827"/>
    <w:rsid w:val="00AE493B"/>
    <w:rsid w:val="00AE4BD7"/>
    <w:rsid w:val="00AE4E61"/>
    <w:rsid w:val="00AE521B"/>
    <w:rsid w:val="00AE528C"/>
    <w:rsid w:val="00AE5603"/>
    <w:rsid w:val="00AE593C"/>
    <w:rsid w:val="00AE596B"/>
    <w:rsid w:val="00AE5DE8"/>
    <w:rsid w:val="00AE6AC4"/>
    <w:rsid w:val="00AE743D"/>
    <w:rsid w:val="00AE757E"/>
    <w:rsid w:val="00AE78E5"/>
    <w:rsid w:val="00AE79CC"/>
    <w:rsid w:val="00AE7E65"/>
    <w:rsid w:val="00AF04CF"/>
    <w:rsid w:val="00AF1010"/>
    <w:rsid w:val="00AF10B0"/>
    <w:rsid w:val="00AF1B55"/>
    <w:rsid w:val="00AF1D1E"/>
    <w:rsid w:val="00AF1D99"/>
    <w:rsid w:val="00AF1DFF"/>
    <w:rsid w:val="00AF25D4"/>
    <w:rsid w:val="00AF2A36"/>
    <w:rsid w:val="00AF2DA6"/>
    <w:rsid w:val="00AF3701"/>
    <w:rsid w:val="00AF380C"/>
    <w:rsid w:val="00AF3B0E"/>
    <w:rsid w:val="00AF4129"/>
    <w:rsid w:val="00AF4499"/>
    <w:rsid w:val="00AF4F34"/>
    <w:rsid w:val="00AF5269"/>
    <w:rsid w:val="00AF541B"/>
    <w:rsid w:val="00AF5836"/>
    <w:rsid w:val="00AF5AD2"/>
    <w:rsid w:val="00AF6454"/>
    <w:rsid w:val="00AF6558"/>
    <w:rsid w:val="00AF6BD6"/>
    <w:rsid w:val="00AF7886"/>
    <w:rsid w:val="00AF78AE"/>
    <w:rsid w:val="00AF794E"/>
    <w:rsid w:val="00AF7A52"/>
    <w:rsid w:val="00AF7BE1"/>
    <w:rsid w:val="00AF7D49"/>
    <w:rsid w:val="00B001F5"/>
    <w:rsid w:val="00B00762"/>
    <w:rsid w:val="00B00928"/>
    <w:rsid w:val="00B00FE8"/>
    <w:rsid w:val="00B01186"/>
    <w:rsid w:val="00B01717"/>
    <w:rsid w:val="00B0175D"/>
    <w:rsid w:val="00B02045"/>
    <w:rsid w:val="00B020C4"/>
    <w:rsid w:val="00B02320"/>
    <w:rsid w:val="00B02463"/>
    <w:rsid w:val="00B027C2"/>
    <w:rsid w:val="00B02AC8"/>
    <w:rsid w:val="00B02C4D"/>
    <w:rsid w:val="00B0390E"/>
    <w:rsid w:val="00B03963"/>
    <w:rsid w:val="00B03BEA"/>
    <w:rsid w:val="00B04359"/>
    <w:rsid w:val="00B048E0"/>
    <w:rsid w:val="00B0500B"/>
    <w:rsid w:val="00B05E86"/>
    <w:rsid w:val="00B06011"/>
    <w:rsid w:val="00B06440"/>
    <w:rsid w:val="00B06558"/>
    <w:rsid w:val="00B06ADA"/>
    <w:rsid w:val="00B06BE2"/>
    <w:rsid w:val="00B06C42"/>
    <w:rsid w:val="00B07819"/>
    <w:rsid w:val="00B07E25"/>
    <w:rsid w:val="00B10327"/>
    <w:rsid w:val="00B10339"/>
    <w:rsid w:val="00B10B1A"/>
    <w:rsid w:val="00B10CF9"/>
    <w:rsid w:val="00B10D1E"/>
    <w:rsid w:val="00B10E6C"/>
    <w:rsid w:val="00B118E3"/>
    <w:rsid w:val="00B11AB4"/>
    <w:rsid w:val="00B12229"/>
    <w:rsid w:val="00B1251B"/>
    <w:rsid w:val="00B12678"/>
    <w:rsid w:val="00B12D2D"/>
    <w:rsid w:val="00B139C6"/>
    <w:rsid w:val="00B13D38"/>
    <w:rsid w:val="00B140A5"/>
    <w:rsid w:val="00B14460"/>
    <w:rsid w:val="00B1449C"/>
    <w:rsid w:val="00B145B9"/>
    <w:rsid w:val="00B14653"/>
    <w:rsid w:val="00B14A5C"/>
    <w:rsid w:val="00B14EC2"/>
    <w:rsid w:val="00B150FF"/>
    <w:rsid w:val="00B1529C"/>
    <w:rsid w:val="00B15F35"/>
    <w:rsid w:val="00B1663A"/>
    <w:rsid w:val="00B17059"/>
    <w:rsid w:val="00B17236"/>
    <w:rsid w:val="00B17439"/>
    <w:rsid w:val="00B17707"/>
    <w:rsid w:val="00B17C80"/>
    <w:rsid w:val="00B20289"/>
    <w:rsid w:val="00B20A43"/>
    <w:rsid w:val="00B20F68"/>
    <w:rsid w:val="00B210C9"/>
    <w:rsid w:val="00B2156E"/>
    <w:rsid w:val="00B21D4A"/>
    <w:rsid w:val="00B222F6"/>
    <w:rsid w:val="00B226AD"/>
    <w:rsid w:val="00B2273A"/>
    <w:rsid w:val="00B227D7"/>
    <w:rsid w:val="00B229E0"/>
    <w:rsid w:val="00B22A10"/>
    <w:rsid w:val="00B22DBC"/>
    <w:rsid w:val="00B23117"/>
    <w:rsid w:val="00B233B0"/>
    <w:rsid w:val="00B23E5D"/>
    <w:rsid w:val="00B24659"/>
    <w:rsid w:val="00B24677"/>
    <w:rsid w:val="00B2585F"/>
    <w:rsid w:val="00B25DBE"/>
    <w:rsid w:val="00B26002"/>
    <w:rsid w:val="00B26615"/>
    <w:rsid w:val="00B2695E"/>
    <w:rsid w:val="00B27B27"/>
    <w:rsid w:val="00B27E93"/>
    <w:rsid w:val="00B303D0"/>
    <w:rsid w:val="00B307C6"/>
    <w:rsid w:val="00B31503"/>
    <w:rsid w:val="00B31622"/>
    <w:rsid w:val="00B3162F"/>
    <w:rsid w:val="00B319AC"/>
    <w:rsid w:val="00B32048"/>
    <w:rsid w:val="00B320E4"/>
    <w:rsid w:val="00B32A92"/>
    <w:rsid w:val="00B32DF3"/>
    <w:rsid w:val="00B32E1D"/>
    <w:rsid w:val="00B32FD1"/>
    <w:rsid w:val="00B3358D"/>
    <w:rsid w:val="00B33AA4"/>
    <w:rsid w:val="00B34137"/>
    <w:rsid w:val="00B343A9"/>
    <w:rsid w:val="00B34758"/>
    <w:rsid w:val="00B349DC"/>
    <w:rsid w:val="00B34A44"/>
    <w:rsid w:val="00B35F51"/>
    <w:rsid w:val="00B36668"/>
    <w:rsid w:val="00B3695C"/>
    <w:rsid w:val="00B36A6B"/>
    <w:rsid w:val="00B36EFC"/>
    <w:rsid w:val="00B37466"/>
    <w:rsid w:val="00B374B4"/>
    <w:rsid w:val="00B37549"/>
    <w:rsid w:val="00B37A55"/>
    <w:rsid w:val="00B388DE"/>
    <w:rsid w:val="00B40B3B"/>
    <w:rsid w:val="00B40F71"/>
    <w:rsid w:val="00B417F8"/>
    <w:rsid w:val="00B43447"/>
    <w:rsid w:val="00B43F82"/>
    <w:rsid w:val="00B444B6"/>
    <w:rsid w:val="00B445D1"/>
    <w:rsid w:val="00B44660"/>
    <w:rsid w:val="00B451CF"/>
    <w:rsid w:val="00B454DC"/>
    <w:rsid w:val="00B45A41"/>
    <w:rsid w:val="00B45B6D"/>
    <w:rsid w:val="00B45BA9"/>
    <w:rsid w:val="00B45C69"/>
    <w:rsid w:val="00B45D6A"/>
    <w:rsid w:val="00B45F10"/>
    <w:rsid w:val="00B46742"/>
    <w:rsid w:val="00B46BBE"/>
    <w:rsid w:val="00B46D43"/>
    <w:rsid w:val="00B46D81"/>
    <w:rsid w:val="00B4731E"/>
    <w:rsid w:val="00B47790"/>
    <w:rsid w:val="00B47867"/>
    <w:rsid w:val="00B478E3"/>
    <w:rsid w:val="00B47A02"/>
    <w:rsid w:val="00B47D01"/>
    <w:rsid w:val="00B47E90"/>
    <w:rsid w:val="00B5089B"/>
    <w:rsid w:val="00B50CAD"/>
    <w:rsid w:val="00B50D02"/>
    <w:rsid w:val="00B5125B"/>
    <w:rsid w:val="00B513D8"/>
    <w:rsid w:val="00B51E5A"/>
    <w:rsid w:val="00B51F37"/>
    <w:rsid w:val="00B525F7"/>
    <w:rsid w:val="00B526DB"/>
    <w:rsid w:val="00B529B6"/>
    <w:rsid w:val="00B53436"/>
    <w:rsid w:val="00B54054"/>
    <w:rsid w:val="00B54505"/>
    <w:rsid w:val="00B545A0"/>
    <w:rsid w:val="00B54758"/>
    <w:rsid w:val="00B54E48"/>
    <w:rsid w:val="00B55654"/>
    <w:rsid w:val="00B556C9"/>
    <w:rsid w:val="00B55C22"/>
    <w:rsid w:val="00B5639D"/>
    <w:rsid w:val="00B56579"/>
    <w:rsid w:val="00B567EF"/>
    <w:rsid w:val="00B5686F"/>
    <w:rsid w:val="00B57193"/>
    <w:rsid w:val="00B575FE"/>
    <w:rsid w:val="00B57D27"/>
    <w:rsid w:val="00B60143"/>
    <w:rsid w:val="00B602A4"/>
    <w:rsid w:val="00B60340"/>
    <w:rsid w:val="00B603A3"/>
    <w:rsid w:val="00B60415"/>
    <w:rsid w:val="00B60910"/>
    <w:rsid w:val="00B60C82"/>
    <w:rsid w:val="00B60F40"/>
    <w:rsid w:val="00B61008"/>
    <w:rsid w:val="00B62653"/>
    <w:rsid w:val="00B62736"/>
    <w:rsid w:val="00B627A5"/>
    <w:rsid w:val="00B6280B"/>
    <w:rsid w:val="00B62AB9"/>
    <w:rsid w:val="00B62BD4"/>
    <w:rsid w:val="00B6323A"/>
    <w:rsid w:val="00B63567"/>
    <w:rsid w:val="00B639C8"/>
    <w:rsid w:val="00B63D0C"/>
    <w:rsid w:val="00B641FB"/>
    <w:rsid w:val="00B64AE8"/>
    <w:rsid w:val="00B656A9"/>
    <w:rsid w:val="00B65A84"/>
    <w:rsid w:val="00B65CEA"/>
    <w:rsid w:val="00B661F7"/>
    <w:rsid w:val="00B664C7"/>
    <w:rsid w:val="00B6658F"/>
    <w:rsid w:val="00B668B5"/>
    <w:rsid w:val="00B66DA2"/>
    <w:rsid w:val="00B66FFC"/>
    <w:rsid w:val="00B67B95"/>
    <w:rsid w:val="00B70B2D"/>
    <w:rsid w:val="00B70B38"/>
    <w:rsid w:val="00B71172"/>
    <w:rsid w:val="00B71337"/>
    <w:rsid w:val="00B7164B"/>
    <w:rsid w:val="00B7186F"/>
    <w:rsid w:val="00B71E30"/>
    <w:rsid w:val="00B72FC3"/>
    <w:rsid w:val="00B73232"/>
    <w:rsid w:val="00B74308"/>
    <w:rsid w:val="00B751A8"/>
    <w:rsid w:val="00B7535E"/>
    <w:rsid w:val="00B75517"/>
    <w:rsid w:val="00B75E51"/>
    <w:rsid w:val="00B76014"/>
    <w:rsid w:val="00B7635C"/>
    <w:rsid w:val="00B7638C"/>
    <w:rsid w:val="00B76648"/>
    <w:rsid w:val="00B7675B"/>
    <w:rsid w:val="00B7686C"/>
    <w:rsid w:val="00B76B65"/>
    <w:rsid w:val="00B779DA"/>
    <w:rsid w:val="00B77F1D"/>
    <w:rsid w:val="00B80D9D"/>
    <w:rsid w:val="00B814B7"/>
    <w:rsid w:val="00B81975"/>
    <w:rsid w:val="00B81D87"/>
    <w:rsid w:val="00B81EA1"/>
    <w:rsid w:val="00B82825"/>
    <w:rsid w:val="00B82876"/>
    <w:rsid w:val="00B844D5"/>
    <w:rsid w:val="00B845E5"/>
    <w:rsid w:val="00B84CDD"/>
    <w:rsid w:val="00B84D89"/>
    <w:rsid w:val="00B8501C"/>
    <w:rsid w:val="00B8504E"/>
    <w:rsid w:val="00B8528E"/>
    <w:rsid w:val="00B858AE"/>
    <w:rsid w:val="00B85946"/>
    <w:rsid w:val="00B85969"/>
    <w:rsid w:val="00B85B2F"/>
    <w:rsid w:val="00B85D72"/>
    <w:rsid w:val="00B85DD4"/>
    <w:rsid w:val="00B862A1"/>
    <w:rsid w:val="00B86BED"/>
    <w:rsid w:val="00B87BAF"/>
    <w:rsid w:val="00B87C19"/>
    <w:rsid w:val="00B87D5B"/>
    <w:rsid w:val="00B902CB"/>
    <w:rsid w:val="00B902EF"/>
    <w:rsid w:val="00B90FAB"/>
    <w:rsid w:val="00B91128"/>
    <w:rsid w:val="00B92288"/>
    <w:rsid w:val="00B92319"/>
    <w:rsid w:val="00B923AC"/>
    <w:rsid w:val="00B92B6B"/>
    <w:rsid w:val="00B92EBD"/>
    <w:rsid w:val="00B93693"/>
    <w:rsid w:val="00B93B8B"/>
    <w:rsid w:val="00B94830"/>
    <w:rsid w:val="00B94AE1"/>
    <w:rsid w:val="00B9518F"/>
    <w:rsid w:val="00B952B4"/>
    <w:rsid w:val="00B96114"/>
    <w:rsid w:val="00B96126"/>
    <w:rsid w:val="00B96AB1"/>
    <w:rsid w:val="00B96F0A"/>
    <w:rsid w:val="00B978A8"/>
    <w:rsid w:val="00BA003E"/>
    <w:rsid w:val="00BA01E6"/>
    <w:rsid w:val="00BA06C3"/>
    <w:rsid w:val="00BA0B29"/>
    <w:rsid w:val="00BA10AF"/>
    <w:rsid w:val="00BA124F"/>
    <w:rsid w:val="00BA14B6"/>
    <w:rsid w:val="00BA2268"/>
    <w:rsid w:val="00BA34F1"/>
    <w:rsid w:val="00BA38B2"/>
    <w:rsid w:val="00BA3902"/>
    <w:rsid w:val="00BA4268"/>
    <w:rsid w:val="00BA48E8"/>
    <w:rsid w:val="00BA4A78"/>
    <w:rsid w:val="00BA4A96"/>
    <w:rsid w:val="00BA4C0E"/>
    <w:rsid w:val="00BA518D"/>
    <w:rsid w:val="00BA5568"/>
    <w:rsid w:val="00BA5D56"/>
    <w:rsid w:val="00BA662F"/>
    <w:rsid w:val="00BA6891"/>
    <w:rsid w:val="00BA69C9"/>
    <w:rsid w:val="00BA6A08"/>
    <w:rsid w:val="00BA6E65"/>
    <w:rsid w:val="00BA70AE"/>
    <w:rsid w:val="00BA72C1"/>
    <w:rsid w:val="00BA731D"/>
    <w:rsid w:val="00BA7721"/>
    <w:rsid w:val="00BA7729"/>
    <w:rsid w:val="00BA7B03"/>
    <w:rsid w:val="00BA7B58"/>
    <w:rsid w:val="00BA7F1D"/>
    <w:rsid w:val="00BB013E"/>
    <w:rsid w:val="00BB056E"/>
    <w:rsid w:val="00BB0A52"/>
    <w:rsid w:val="00BB0E26"/>
    <w:rsid w:val="00BB15A8"/>
    <w:rsid w:val="00BB15DC"/>
    <w:rsid w:val="00BB1659"/>
    <w:rsid w:val="00BB168E"/>
    <w:rsid w:val="00BB16C0"/>
    <w:rsid w:val="00BB16EC"/>
    <w:rsid w:val="00BB170D"/>
    <w:rsid w:val="00BB1AFB"/>
    <w:rsid w:val="00BB1BDC"/>
    <w:rsid w:val="00BB1F33"/>
    <w:rsid w:val="00BB220D"/>
    <w:rsid w:val="00BB2488"/>
    <w:rsid w:val="00BB2C90"/>
    <w:rsid w:val="00BB362D"/>
    <w:rsid w:val="00BB3C7F"/>
    <w:rsid w:val="00BB3F4A"/>
    <w:rsid w:val="00BB421D"/>
    <w:rsid w:val="00BB457A"/>
    <w:rsid w:val="00BB5185"/>
    <w:rsid w:val="00BB5B15"/>
    <w:rsid w:val="00BB5B47"/>
    <w:rsid w:val="00BB5E66"/>
    <w:rsid w:val="00BB694E"/>
    <w:rsid w:val="00BB75C2"/>
    <w:rsid w:val="00BB7A7A"/>
    <w:rsid w:val="00BB7C34"/>
    <w:rsid w:val="00BC03E4"/>
    <w:rsid w:val="00BC06EA"/>
    <w:rsid w:val="00BC0DF0"/>
    <w:rsid w:val="00BC1512"/>
    <w:rsid w:val="00BC1A2F"/>
    <w:rsid w:val="00BC2346"/>
    <w:rsid w:val="00BC29A3"/>
    <w:rsid w:val="00BC2C8A"/>
    <w:rsid w:val="00BC2CD7"/>
    <w:rsid w:val="00BC33E4"/>
    <w:rsid w:val="00BC3BA8"/>
    <w:rsid w:val="00BC3C73"/>
    <w:rsid w:val="00BC404D"/>
    <w:rsid w:val="00BC40DD"/>
    <w:rsid w:val="00BC43A7"/>
    <w:rsid w:val="00BC4C09"/>
    <w:rsid w:val="00BC4D1D"/>
    <w:rsid w:val="00BC4FD4"/>
    <w:rsid w:val="00BC5B8E"/>
    <w:rsid w:val="00BC5F38"/>
    <w:rsid w:val="00BC5FC7"/>
    <w:rsid w:val="00BC61FB"/>
    <w:rsid w:val="00BC6AF9"/>
    <w:rsid w:val="00BC6D35"/>
    <w:rsid w:val="00BC6D96"/>
    <w:rsid w:val="00BC6F44"/>
    <w:rsid w:val="00BC7B48"/>
    <w:rsid w:val="00BC7B90"/>
    <w:rsid w:val="00BD08E1"/>
    <w:rsid w:val="00BD0A12"/>
    <w:rsid w:val="00BD0E0F"/>
    <w:rsid w:val="00BD10C4"/>
    <w:rsid w:val="00BD1360"/>
    <w:rsid w:val="00BD1393"/>
    <w:rsid w:val="00BD18A0"/>
    <w:rsid w:val="00BD1D14"/>
    <w:rsid w:val="00BD1D8B"/>
    <w:rsid w:val="00BD3194"/>
    <w:rsid w:val="00BD3AD8"/>
    <w:rsid w:val="00BD3BB8"/>
    <w:rsid w:val="00BD3F2C"/>
    <w:rsid w:val="00BD457E"/>
    <w:rsid w:val="00BD562F"/>
    <w:rsid w:val="00BD5DAC"/>
    <w:rsid w:val="00BD6009"/>
    <w:rsid w:val="00BD668A"/>
    <w:rsid w:val="00BD69F8"/>
    <w:rsid w:val="00BD6A82"/>
    <w:rsid w:val="00BD6AB8"/>
    <w:rsid w:val="00BD6FD9"/>
    <w:rsid w:val="00BD76EC"/>
    <w:rsid w:val="00BD7925"/>
    <w:rsid w:val="00BD79B6"/>
    <w:rsid w:val="00BD7C9A"/>
    <w:rsid w:val="00BD7D6A"/>
    <w:rsid w:val="00BE00EE"/>
    <w:rsid w:val="00BE0406"/>
    <w:rsid w:val="00BE14F3"/>
    <w:rsid w:val="00BE1E19"/>
    <w:rsid w:val="00BE2532"/>
    <w:rsid w:val="00BE2D37"/>
    <w:rsid w:val="00BE2ECB"/>
    <w:rsid w:val="00BE3643"/>
    <w:rsid w:val="00BE372B"/>
    <w:rsid w:val="00BE4097"/>
    <w:rsid w:val="00BE49EE"/>
    <w:rsid w:val="00BE4D27"/>
    <w:rsid w:val="00BE504C"/>
    <w:rsid w:val="00BE50CB"/>
    <w:rsid w:val="00BE5431"/>
    <w:rsid w:val="00BE5468"/>
    <w:rsid w:val="00BE5D5A"/>
    <w:rsid w:val="00BE5D77"/>
    <w:rsid w:val="00BE6078"/>
    <w:rsid w:val="00BE681F"/>
    <w:rsid w:val="00BE6B73"/>
    <w:rsid w:val="00BE7309"/>
    <w:rsid w:val="00BE77D9"/>
    <w:rsid w:val="00BE7D48"/>
    <w:rsid w:val="00BF0772"/>
    <w:rsid w:val="00BF0871"/>
    <w:rsid w:val="00BF09BD"/>
    <w:rsid w:val="00BF0EDB"/>
    <w:rsid w:val="00BF11E0"/>
    <w:rsid w:val="00BF17D4"/>
    <w:rsid w:val="00BF1823"/>
    <w:rsid w:val="00BF1A15"/>
    <w:rsid w:val="00BF1B3B"/>
    <w:rsid w:val="00BF1BDD"/>
    <w:rsid w:val="00BF1FC9"/>
    <w:rsid w:val="00BF2AD3"/>
    <w:rsid w:val="00BF2DE1"/>
    <w:rsid w:val="00BF364A"/>
    <w:rsid w:val="00BF36BA"/>
    <w:rsid w:val="00BF3E0E"/>
    <w:rsid w:val="00BF411A"/>
    <w:rsid w:val="00BF4449"/>
    <w:rsid w:val="00BF4470"/>
    <w:rsid w:val="00BF4B50"/>
    <w:rsid w:val="00BF4BC3"/>
    <w:rsid w:val="00BF4BE4"/>
    <w:rsid w:val="00BF4F7C"/>
    <w:rsid w:val="00BF58E3"/>
    <w:rsid w:val="00BF5A7F"/>
    <w:rsid w:val="00BF5B80"/>
    <w:rsid w:val="00BF5CB4"/>
    <w:rsid w:val="00BF62B8"/>
    <w:rsid w:val="00BF639E"/>
    <w:rsid w:val="00BF7510"/>
    <w:rsid w:val="00C01254"/>
    <w:rsid w:val="00C01599"/>
    <w:rsid w:val="00C01CF1"/>
    <w:rsid w:val="00C01E3A"/>
    <w:rsid w:val="00C01F27"/>
    <w:rsid w:val="00C02C0F"/>
    <w:rsid w:val="00C03EDE"/>
    <w:rsid w:val="00C04276"/>
    <w:rsid w:val="00C046B4"/>
    <w:rsid w:val="00C04BA4"/>
    <w:rsid w:val="00C04D59"/>
    <w:rsid w:val="00C04EFC"/>
    <w:rsid w:val="00C0633B"/>
    <w:rsid w:val="00C06341"/>
    <w:rsid w:val="00C06A7E"/>
    <w:rsid w:val="00C06F8C"/>
    <w:rsid w:val="00C078DC"/>
    <w:rsid w:val="00C07D98"/>
    <w:rsid w:val="00C07E0A"/>
    <w:rsid w:val="00C104E3"/>
    <w:rsid w:val="00C105D8"/>
    <w:rsid w:val="00C10838"/>
    <w:rsid w:val="00C10859"/>
    <w:rsid w:val="00C1095A"/>
    <w:rsid w:val="00C1109C"/>
    <w:rsid w:val="00C1139F"/>
    <w:rsid w:val="00C11D3E"/>
    <w:rsid w:val="00C11E58"/>
    <w:rsid w:val="00C12330"/>
    <w:rsid w:val="00C123BF"/>
    <w:rsid w:val="00C12789"/>
    <w:rsid w:val="00C12D3A"/>
    <w:rsid w:val="00C130C2"/>
    <w:rsid w:val="00C1329F"/>
    <w:rsid w:val="00C13492"/>
    <w:rsid w:val="00C136B0"/>
    <w:rsid w:val="00C137FF"/>
    <w:rsid w:val="00C13A99"/>
    <w:rsid w:val="00C13E96"/>
    <w:rsid w:val="00C142D5"/>
    <w:rsid w:val="00C14398"/>
    <w:rsid w:val="00C152B5"/>
    <w:rsid w:val="00C15592"/>
    <w:rsid w:val="00C1621E"/>
    <w:rsid w:val="00C164E3"/>
    <w:rsid w:val="00C165D3"/>
    <w:rsid w:val="00C16BBB"/>
    <w:rsid w:val="00C17C55"/>
    <w:rsid w:val="00C17CDB"/>
    <w:rsid w:val="00C17D96"/>
    <w:rsid w:val="00C20869"/>
    <w:rsid w:val="00C20CE0"/>
    <w:rsid w:val="00C20F40"/>
    <w:rsid w:val="00C20F60"/>
    <w:rsid w:val="00C2144C"/>
    <w:rsid w:val="00C21476"/>
    <w:rsid w:val="00C217F1"/>
    <w:rsid w:val="00C218B7"/>
    <w:rsid w:val="00C21B07"/>
    <w:rsid w:val="00C2201C"/>
    <w:rsid w:val="00C2232F"/>
    <w:rsid w:val="00C227D0"/>
    <w:rsid w:val="00C22A28"/>
    <w:rsid w:val="00C23491"/>
    <w:rsid w:val="00C237C6"/>
    <w:rsid w:val="00C238B5"/>
    <w:rsid w:val="00C23AFC"/>
    <w:rsid w:val="00C23B90"/>
    <w:rsid w:val="00C23CC8"/>
    <w:rsid w:val="00C23D87"/>
    <w:rsid w:val="00C2447D"/>
    <w:rsid w:val="00C25549"/>
    <w:rsid w:val="00C25672"/>
    <w:rsid w:val="00C25A8E"/>
    <w:rsid w:val="00C25DF3"/>
    <w:rsid w:val="00C25F56"/>
    <w:rsid w:val="00C2674A"/>
    <w:rsid w:val="00C2688F"/>
    <w:rsid w:val="00C26980"/>
    <w:rsid w:val="00C26CCF"/>
    <w:rsid w:val="00C26D85"/>
    <w:rsid w:val="00C27272"/>
    <w:rsid w:val="00C27841"/>
    <w:rsid w:val="00C27CB2"/>
    <w:rsid w:val="00C30943"/>
    <w:rsid w:val="00C30AD2"/>
    <w:rsid w:val="00C30E73"/>
    <w:rsid w:val="00C31066"/>
    <w:rsid w:val="00C313A6"/>
    <w:rsid w:val="00C3181D"/>
    <w:rsid w:val="00C31DAE"/>
    <w:rsid w:val="00C31E51"/>
    <w:rsid w:val="00C32E38"/>
    <w:rsid w:val="00C32F9C"/>
    <w:rsid w:val="00C33BF8"/>
    <w:rsid w:val="00C33C78"/>
    <w:rsid w:val="00C343AE"/>
    <w:rsid w:val="00C3472F"/>
    <w:rsid w:val="00C34AA9"/>
    <w:rsid w:val="00C34B8A"/>
    <w:rsid w:val="00C351B5"/>
    <w:rsid w:val="00C35371"/>
    <w:rsid w:val="00C35482"/>
    <w:rsid w:val="00C35CD7"/>
    <w:rsid w:val="00C35DC8"/>
    <w:rsid w:val="00C36C9D"/>
    <w:rsid w:val="00C36E76"/>
    <w:rsid w:val="00C37437"/>
    <w:rsid w:val="00C3760C"/>
    <w:rsid w:val="00C37C42"/>
    <w:rsid w:val="00C37D86"/>
    <w:rsid w:val="00C409BC"/>
    <w:rsid w:val="00C40A63"/>
    <w:rsid w:val="00C414A3"/>
    <w:rsid w:val="00C41910"/>
    <w:rsid w:val="00C41AFC"/>
    <w:rsid w:val="00C41C9C"/>
    <w:rsid w:val="00C42363"/>
    <w:rsid w:val="00C423CE"/>
    <w:rsid w:val="00C42960"/>
    <w:rsid w:val="00C42A93"/>
    <w:rsid w:val="00C42D27"/>
    <w:rsid w:val="00C42F70"/>
    <w:rsid w:val="00C43344"/>
    <w:rsid w:val="00C4377D"/>
    <w:rsid w:val="00C43955"/>
    <w:rsid w:val="00C439BA"/>
    <w:rsid w:val="00C43A64"/>
    <w:rsid w:val="00C43F9A"/>
    <w:rsid w:val="00C44307"/>
    <w:rsid w:val="00C443AD"/>
    <w:rsid w:val="00C45765"/>
    <w:rsid w:val="00C45B38"/>
    <w:rsid w:val="00C45EE6"/>
    <w:rsid w:val="00C45F34"/>
    <w:rsid w:val="00C4734B"/>
    <w:rsid w:val="00C47628"/>
    <w:rsid w:val="00C47BDE"/>
    <w:rsid w:val="00C5022B"/>
    <w:rsid w:val="00C5085E"/>
    <w:rsid w:val="00C50EB6"/>
    <w:rsid w:val="00C516A2"/>
    <w:rsid w:val="00C51B99"/>
    <w:rsid w:val="00C521F1"/>
    <w:rsid w:val="00C52CEE"/>
    <w:rsid w:val="00C535BF"/>
    <w:rsid w:val="00C53823"/>
    <w:rsid w:val="00C53F57"/>
    <w:rsid w:val="00C542B3"/>
    <w:rsid w:val="00C5479C"/>
    <w:rsid w:val="00C55055"/>
    <w:rsid w:val="00C55517"/>
    <w:rsid w:val="00C55660"/>
    <w:rsid w:val="00C55902"/>
    <w:rsid w:val="00C55931"/>
    <w:rsid w:val="00C55DB1"/>
    <w:rsid w:val="00C56279"/>
    <w:rsid w:val="00C56324"/>
    <w:rsid w:val="00C56B2F"/>
    <w:rsid w:val="00C57842"/>
    <w:rsid w:val="00C57C42"/>
    <w:rsid w:val="00C57CF1"/>
    <w:rsid w:val="00C57E61"/>
    <w:rsid w:val="00C6087B"/>
    <w:rsid w:val="00C60895"/>
    <w:rsid w:val="00C60A96"/>
    <w:rsid w:val="00C60F91"/>
    <w:rsid w:val="00C61350"/>
    <w:rsid w:val="00C6185E"/>
    <w:rsid w:val="00C620FB"/>
    <w:rsid w:val="00C62170"/>
    <w:rsid w:val="00C624C7"/>
    <w:rsid w:val="00C62EBF"/>
    <w:rsid w:val="00C62F1A"/>
    <w:rsid w:val="00C6366D"/>
    <w:rsid w:val="00C637C1"/>
    <w:rsid w:val="00C638C1"/>
    <w:rsid w:val="00C63E0D"/>
    <w:rsid w:val="00C64022"/>
    <w:rsid w:val="00C64D7B"/>
    <w:rsid w:val="00C65C1B"/>
    <w:rsid w:val="00C65D15"/>
    <w:rsid w:val="00C65F4A"/>
    <w:rsid w:val="00C660EA"/>
    <w:rsid w:val="00C6681F"/>
    <w:rsid w:val="00C66951"/>
    <w:rsid w:val="00C66974"/>
    <w:rsid w:val="00C669D2"/>
    <w:rsid w:val="00C66B08"/>
    <w:rsid w:val="00C673AC"/>
    <w:rsid w:val="00C67FD5"/>
    <w:rsid w:val="00C6DCE6"/>
    <w:rsid w:val="00C701F1"/>
    <w:rsid w:val="00C71053"/>
    <w:rsid w:val="00C71131"/>
    <w:rsid w:val="00C71246"/>
    <w:rsid w:val="00C7181D"/>
    <w:rsid w:val="00C71AAA"/>
    <w:rsid w:val="00C71AF9"/>
    <w:rsid w:val="00C71D2F"/>
    <w:rsid w:val="00C728C0"/>
    <w:rsid w:val="00C728C1"/>
    <w:rsid w:val="00C728F0"/>
    <w:rsid w:val="00C73A24"/>
    <w:rsid w:val="00C74572"/>
    <w:rsid w:val="00C74581"/>
    <w:rsid w:val="00C745C4"/>
    <w:rsid w:val="00C749B8"/>
    <w:rsid w:val="00C74C5B"/>
    <w:rsid w:val="00C74D43"/>
    <w:rsid w:val="00C754E1"/>
    <w:rsid w:val="00C75B45"/>
    <w:rsid w:val="00C76010"/>
    <w:rsid w:val="00C76633"/>
    <w:rsid w:val="00C76BB3"/>
    <w:rsid w:val="00C7764E"/>
    <w:rsid w:val="00C7783E"/>
    <w:rsid w:val="00C77D58"/>
    <w:rsid w:val="00C77EE2"/>
    <w:rsid w:val="00C77EE4"/>
    <w:rsid w:val="00C80396"/>
    <w:rsid w:val="00C8039F"/>
    <w:rsid w:val="00C80485"/>
    <w:rsid w:val="00C80745"/>
    <w:rsid w:val="00C807EB"/>
    <w:rsid w:val="00C80957"/>
    <w:rsid w:val="00C828E3"/>
    <w:rsid w:val="00C82ADE"/>
    <w:rsid w:val="00C82FC7"/>
    <w:rsid w:val="00C83479"/>
    <w:rsid w:val="00C8364F"/>
    <w:rsid w:val="00C83BCC"/>
    <w:rsid w:val="00C84421"/>
    <w:rsid w:val="00C847F1"/>
    <w:rsid w:val="00C84BCA"/>
    <w:rsid w:val="00C85080"/>
    <w:rsid w:val="00C85212"/>
    <w:rsid w:val="00C85253"/>
    <w:rsid w:val="00C85300"/>
    <w:rsid w:val="00C85970"/>
    <w:rsid w:val="00C85D43"/>
    <w:rsid w:val="00C8694D"/>
    <w:rsid w:val="00C86EAD"/>
    <w:rsid w:val="00C86F82"/>
    <w:rsid w:val="00C87B68"/>
    <w:rsid w:val="00C90C73"/>
    <w:rsid w:val="00C914B0"/>
    <w:rsid w:val="00C91A11"/>
    <w:rsid w:val="00C91B15"/>
    <w:rsid w:val="00C91DF3"/>
    <w:rsid w:val="00C920F3"/>
    <w:rsid w:val="00C92104"/>
    <w:rsid w:val="00C9225B"/>
    <w:rsid w:val="00C92BD7"/>
    <w:rsid w:val="00C92D92"/>
    <w:rsid w:val="00C92D99"/>
    <w:rsid w:val="00C92F04"/>
    <w:rsid w:val="00C930E2"/>
    <w:rsid w:val="00C9317D"/>
    <w:rsid w:val="00C94000"/>
    <w:rsid w:val="00C94268"/>
    <w:rsid w:val="00C9484C"/>
    <w:rsid w:val="00C94B8F"/>
    <w:rsid w:val="00C94BC4"/>
    <w:rsid w:val="00C94C5F"/>
    <w:rsid w:val="00C94D5F"/>
    <w:rsid w:val="00C94E5C"/>
    <w:rsid w:val="00C956FC"/>
    <w:rsid w:val="00C96B58"/>
    <w:rsid w:val="00C97297"/>
    <w:rsid w:val="00C977DC"/>
    <w:rsid w:val="00C97BB3"/>
    <w:rsid w:val="00C97F6B"/>
    <w:rsid w:val="00CA01A0"/>
    <w:rsid w:val="00CA0B2E"/>
    <w:rsid w:val="00CA0E32"/>
    <w:rsid w:val="00CA0F7D"/>
    <w:rsid w:val="00CA1062"/>
    <w:rsid w:val="00CA1531"/>
    <w:rsid w:val="00CA15A2"/>
    <w:rsid w:val="00CA1FC5"/>
    <w:rsid w:val="00CA24CB"/>
    <w:rsid w:val="00CA25B8"/>
    <w:rsid w:val="00CA27E2"/>
    <w:rsid w:val="00CA29C3"/>
    <w:rsid w:val="00CA2E32"/>
    <w:rsid w:val="00CA3492"/>
    <w:rsid w:val="00CA38FA"/>
    <w:rsid w:val="00CA39AA"/>
    <w:rsid w:val="00CA3D23"/>
    <w:rsid w:val="00CA3FAB"/>
    <w:rsid w:val="00CA40CA"/>
    <w:rsid w:val="00CA4546"/>
    <w:rsid w:val="00CA4DDF"/>
    <w:rsid w:val="00CA4E34"/>
    <w:rsid w:val="00CA53E3"/>
    <w:rsid w:val="00CA5529"/>
    <w:rsid w:val="00CA5934"/>
    <w:rsid w:val="00CA6F54"/>
    <w:rsid w:val="00CA739F"/>
    <w:rsid w:val="00CA7CBC"/>
    <w:rsid w:val="00CA7EEA"/>
    <w:rsid w:val="00CB01AC"/>
    <w:rsid w:val="00CB0666"/>
    <w:rsid w:val="00CB07A3"/>
    <w:rsid w:val="00CB0C8D"/>
    <w:rsid w:val="00CB2CE4"/>
    <w:rsid w:val="00CB3A2F"/>
    <w:rsid w:val="00CB3A4D"/>
    <w:rsid w:val="00CB4275"/>
    <w:rsid w:val="00CB4292"/>
    <w:rsid w:val="00CB44D5"/>
    <w:rsid w:val="00CB4AEA"/>
    <w:rsid w:val="00CB4DE6"/>
    <w:rsid w:val="00CB4E54"/>
    <w:rsid w:val="00CB5066"/>
    <w:rsid w:val="00CB524F"/>
    <w:rsid w:val="00CB532B"/>
    <w:rsid w:val="00CB5572"/>
    <w:rsid w:val="00CB55E1"/>
    <w:rsid w:val="00CB5948"/>
    <w:rsid w:val="00CB5A47"/>
    <w:rsid w:val="00CB5B4B"/>
    <w:rsid w:val="00CB5B67"/>
    <w:rsid w:val="00CB5EC2"/>
    <w:rsid w:val="00CB69F2"/>
    <w:rsid w:val="00CB69F5"/>
    <w:rsid w:val="00CB7DF4"/>
    <w:rsid w:val="00CC072F"/>
    <w:rsid w:val="00CC081B"/>
    <w:rsid w:val="00CC08BC"/>
    <w:rsid w:val="00CC0A6C"/>
    <w:rsid w:val="00CC0C3E"/>
    <w:rsid w:val="00CC0D17"/>
    <w:rsid w:val="00CC187B"/>
    <w:rsid w:val="00CC18FE"/>
    <w:rsid w:val="00CC1C39"/>
    <w:rsid w:val="00CC1D75"/>
    <w:rsid w:val="00CC1F29"/>
    <w:rsid w:val="00CC2105"/>
    <w:rsid w:val="00CC248F"/>
    <w:rsid w:val="00CC2B00"/>
    <w:rsid w:val="00CC2CB9"/>
    <w:rsid w:val="00CC2F12"/>
    <w:rsid w:val="00CC2FE7"/>
    <w:rsid w:val="00CC31B7"/>
    <w:rsid w:val="00CC3BBD"/>
    <w:rsid w:val="00CC3EA3"/>
    <w:rsid w:val="00CC4075"/>
    <w:rsid w:val="00CC4732"/>
    <w:rsid w:val="00CC48B6"/>
    <w:rsid w:val="00CC4B56"/>
    <w:rsid w:val="00CC4F01"/>
    <w:rsid w:val="00CC52B2"/>
    <w:rsid w:val="00CC5362"/>
    <w:rsid w:val="00CC5548"/>
    <w:rsid w:val="00CC5A05"/>
    <w:rsid w:val="00CC66CD"/>
    <w:rsid w:val="00CC6909"/>
    <w:rsid w:val="00CC7308"/>
    <w:rsid w:val="00CC74FA"/>
    <w:rsid w:val="00CC7AB4"/>
    <w:rsid w:val="00CC7AC6"/>
    <w:rsid w:val="00CC7ADE"/>
    <w:rsid w:val="00CC7C5E"/>
    <w:rsid w:val="00CC7FA5"/>
    <w:rsid w:val="00CC7FF1"/>
    <w:rsid w:val="00CD0CAE"/>
    <w:rsid w:val="00CD0DA4"/>
    <w:rsid w:val="00CD11CC"/>
    <w:rsid w:val="00CD1A8B"/>
    <w:rsid w:val="00CD216D"/>
    <w:rsid w:val="00CD2265"/>
    <w:rsid w:val="00CD236A"/>
    <w:rsid w:val="00CD2381"/>
    <w:rsid w:val="00CD282F"/>
    <w:rsid w:val="00CD3147"/>
    <w:rsid w:val="00CD3E8E"/>
    <w:rsid w:val="00CD454F"/>
    <w:rsid w:val="00CD48F0"/>
    <w:rsid w:val="00CD4A50"/>
    <w:rsid w:val="00CD4A78"/>
    <w:rsid w:val="00CD4BFF"/>
    <w:rsid w:val="00CD4E94"/>
    <w:rsid w:val="00CD4FF8"/>
    <w:rsid w:val="00CD5611"/>
    <w:rsid w:val="00CD584B"/>
    <w:rsid w:val="00CD58A1"/>
    <w:rsid w:val="00CD5B2D"/>
    <w:rsid w:val="00CD64A6"/>
    <w:rsid w:val="00CD6528"/>
    <w:rsid w:val="00CD6B2B"/>
    <w:rsid w:val="00CD6CB7"/>
    <w:rsid w:val="00CD6ED1"/>
    <w:rsid w:val="00CD7095"/>
    <w:rsid w:val="00CD756E"/>
    <w:rsid w:val="00CD7A48"/>
    <w:rsid w:val="00CD7A69"/>
    <w:rsid w:val="00CE0D70"/>
    <w:rsid w:val="00CE18E4"/>
    <w:rsid w:val="00CE1AEE"/>
    <w:rsid w:val="00CE26BA"/>
    <w:rsid w:val="00CE2A72"/>
    <w:rsid w:val="00CE2BA8"/>
    <w:rsid w:val="00CE2CD6"/>
    <w:rsid w:val="00CE3125"/>
    <w:rsid w:val="00CE33E8"/>
    <w:rsid w:val="00CE3975"/>
    <w:rsid w:val="00CE4467"/>
    <w:rsid w:val="00CE467C"/>
    <w:rsid w:val="00CE478C"/>
    <w:rsid w:val="00CE4990"/>
    <w:rsid w:val="00CE4D00"/>
    <w:rsid w:val="00CE4FDE"/>
    <w:rsid w:val="00CE5658"/>
    <w:rsid w:val="00CE56CD"/>
    <w:rsid w:val="00CE5B25"/>
    <w:rsid w:val="00CE5D57"/>
    <w:rsid w:val="00CE5DC1"/>
    <w:rsid w:val="00CE6BBF"/>
    <w:rsid w:val="00CE7459"/>
    <w:rsid w:val="00CE7921"/>
    <w:rsid w:val="00CE7EB9"/>
    <w:rsid w:val="00CF03B5"/>
    <w:rsid w:val="00CF0DA3"/>
    <w:rsid w:val="00CF125F"/>
    <w:rsid w:val="00CF149A"/>
    <w:rsid w:val="00CF1DA9"/>
    <w:rsid w:val="00CF2623"/>
    <w:rsid w:val="00CF266A"/>
    <w:rsid w:val="00CF2CD7"/>
    <w:rsid w:val="00CF2D39"/>
    <w:rsid w:val="00CF3407"/>
    <w:rsid w:val="00CF3778"/>
    <w:rsid w:val="00CF3D32"/>
    <w:rsid w:val="00CF3EBD"/>
    <w:rsid w:val="00CF40CE"/>
    <w:rsid w:val="00CF479B"/>
    <w:rsid w:val="00CF4E2F"/>
    <w:rsid w:val="00CF513A"/>
    <w:rsid w:val="00CF560A"/>
    <w:rsid w:val="00CF584C"/>
    <w:rsid w:val="00CF63C3"/>
    <w:rsid w:val="00CF6C39"/>
    <w:rsid w:val="00CF6F5B"/>
    <w:rsid w:val="00CF71FD"/>
    <w:rsid w:val="00CF7277"/>
    <w:rsid w:val="00CF7D69"/>
    <w:rsid w:val="00D001B1"/>
    <w:rsid w:val="00D00A5C"/>
    <w:rsid w:val="00D00BBE"/>
    <w:rsid w:val="00D01381"/>
    <w:rsid w:val="00D017FB"/>
    <w:rsid w:val="00D01CED"/>
    <w:rsid w:val="00D01D30"/>
    <w:rsid w:val="00D024B4"/>
    <w:rsid w:val="00D03851"/>
    <w:rsid w:val="00D03892"/>
    <w:rsid w:val="00D03B01"/>
    <w:rsid w:val="00D03F71"/>
    <w:rsid w:val="00D04186"/>
    <w:rsid w:val="00D0489E"/>
    <w:rsid w:val="00D06034"/>
    <w:rsid w:val="00D073E9"/>
    <w:rsid w:val="00D07DD0"/>
    <w:rsid w:val="00D07EAF"/>
    <w:rsid w:val="00D102AA"/>
    <w:rsid w:val="00D1033C"/>
    <w:rsid w:val="00D105D6"/>
    <w:rsid w:val="00D10826"/>
    <w:rsid w:val="00D10D48"/>
    <w:rsid w:val="00D11665"/>
    <w:rsid w:val="00D11A67"/>
    <w:rsid w:val="00D11A8F"/>
    <w:rsid w:val="00D11BA1"/>
    <w:rsid w:val="00D11D95"/>
    <w:rsid w:val="00D12046"/>
    <w:rsid w:val="00D12BBE"/>
    <w:rsid w:val="00D1306A"/>
    <w:rsid w:val="00D13437"/>
    <w:rsid w:val="00D136CE"/>
    <w:rsid w:val="00D136DC"/>
    <w:rsid w:val="00D13E6E"/>
    <w:rsid w:val="00D1403B"/>
    <w:rsid w:val="00D15030"/>
    <w:rsid w:val="00D150B1"/>
    <w:rsid w:val="00D159A4"/>
    <w:rsid w:val="00D1614F"/>
    <w:rsid w:val="00D16467"/>
    <w:rsid w:val="00D164E2"/>
    <w:rsid w:val="00D172AB"/>
    <w:rsid w:val="00D17DAF"/>
    <w:rsid w:val="00D20091"/>
    <w:rsid w:val="00D202FE"/>
    <w:rsid w:val="00D204F4"/>
    <w:rsid w:val="00D20643"/>
    <w:rsid w:val="00D20659"/>
    <w:rsid w:val="00D20717"/>
    <w:rsid w:val="00D20AB3"/>
    <w:rsid w:val="00D20FA2"/>
    <w:rsid w:val="00D210FF"/>
    <w:rsid w:val="00D216D7"/>
    <w:rsid w:val="00D21C09"/>
    <w:rsid w:val="00D2205D"/>
    <w:rsid w:val="00D220E0"/>
    <w:rsid w:val="00D22310"/>
    <w:rsid w:val="00D223A7"/>
    <w:rsid w:val="00D2254E"/>
    <w:rsid w:val="00D22D06"/>
    <w:rsid w:val="00D23419"/>
    <w:rsid w:val="00D2346A"/>
    <w:rsid w:val="00D23C47"/>
    <w:rsid w:val="00D2462D"/>
    <w:rsid w:val="00D24632"/>
    <w:rsid w:val="00D248B7"/>
    <w:rsid w:val="00D24C3D"/>
    <w:rsid w:val="00D24D3D"/>
    <w:rsid w:val="00D24F53"/>
    <w:rsid w:val="00D24FF6"/>
    <w:rsid w:val="00D25EE4"/>
    <w:rsid w:val="00D2618A"/>
    <w:rsid w:val="00D26211"/>
    <w:rsid w:val="00D26427"/>
    <w:rsid w:val="00D26C3E"/>
    <w:rsid w:val="00D271DF"/>
    <w:rsid w:val="00D27353"/>
    <w:rsid w:val="00D274C5"/>
    <w:rsid w:val="00D276D5"/>
    <w:rsid w:val="00D27B8C"/>
    <w:rsid w:val="00D27BB5"/>
    <w:rsid w:val="00D306CB"/>
    <w:rsid w:val="00D3095F"/>
    <w:rsid w:val="00D30B52"/>
    <w:rsid w:val="00D30C19"/>
    <w:rsid w:val="00D30DAD"/>
    <w:rsid w:val="00D30F77"/>
    <w:rsid w:val="00D30F91"/>
    <w:rsid w:val="00D31F34"/>
    <w:rsid w:val="00D3200B"/>
    <w:rsid w:val="00D326D9"/>
    <w:rsid w:val="00D32703"/>
    <w:rsid w:val="00D32EAF"/>
    <w:rsid w:val="00D32F72"/>
    <w:rsid w:val="00D32FDF"/>
    <w:rsid w:val="00D33282"/>
    <w:rsid w:val="00D33753"/>
    <w:rsid w:val="00D3429E"/>
    <w:rsid w:val="00D35147"/>
    <w:rsid w:val="00D35605"/>
    <w:rsid w:val="00D36145"/>
    <w:rsid w:val="00D36387"/>
    <w:rsid w:val="00D3642C"/>
    <w:rsid w:val="00D36630"/>
    <w:rsid w:val="00D366FB"/>
    <w:rsid w:val="00D36944"/>
    <w:rsid w:val="00D36B4A"/>
    <w:rsid w:val="00D36E00"/>
    <w:rsid w:val="00D3756D"/>
    <w:rsid w:val="00D37BE6"/>
    <w:rsid w:val="00D37D0B"/>
    <w:rsid w:val="00D37F39"/>
    <w:rsid w:val="00D40072"/>
    <w:rsid w:val="00D40303"/>
    <w:rsid w:val="00D412C9"/>
    <w:rsid w:val="00D41644"/>
    <w:rsid w:val="00D41CE4"/>
    <w:rsid w:val="00D41D00"/>
    <w:rsid w:val="00D420E0"/>
    <w:rsid w:val="00D43479"/>
    <w:rsid w:val="00D43624"/>
    <w:rsid w:val="00D4372D"/>
    <w:rsid w:val="00D43A66"/>
    <w:rsid w:val="00D44061"/>
    <w:rsid w:val="00D45011"/>
    <w:rsid w:val="00D450CB"/>
    <w:rsid w:val="00D45E0E"/>
    <w:rsid w:val="00D46BFF"/>
    <w:rsid w:val="00D47684"/>
    <w:rsid w:val="00D47797"/>
    <w:rsid w:val="00D477F1"/>
    <w:rsid w:val="00D4784C"/>
    <w:rsid w:val="00D50036"/>
    <w:rsid w:val="00D5006A"/>
    <w:rsid w:val="00D501D9"/>
    <w:rsid w:val="00D504E4"/>
    <w:rsid w:val="00D507CA"/>
    <w:rsid w:val="00D50851"/>
    <w:rsid w:val="00D50B6F"/>
    <w:rsid w:val="00D50C5D"/>
    <w:rsid w:val="00D51E54"/>
    <w:rsid w:val="00D520C8"/>
    <w:rsid w:val="00D52962"/>
    <w:rsid w:val="00D52CF1"/>
    <w:rsid w:val="00D530BF"/>
    <w:rsid w:val="00D5363F"/>
    <w:rsid w:val="00D5384F"/>
    <w:rsid w:val="00D54364"/>
    <w:rsid w:val="00D54885"/>
    <w:rsid w:val="00D54D99"/>
    <w:rsid w:val="00D54E6A"/>
    <w:rsid w:val="00D55683"/>
    <w:rsid w:val="00D55C4E"/>
    <w:rsid w:val="00D56375"/>
    <w:rsid w:val="00D5702A"/>
    <w:rsid w:val="00D57323"/>
    <w:rsid w:val="00D57738"/>
    <w:rsid w:val="00D603A1"/>
    <w:rsid w:val="00D60826"/>
    <w:rsid w:val="00D60A0C"/>
    <w:rsid w:val="00D60C20"/>
    <w:rsid w:val="00D60DC1"/>
    <w:rsid w:val="00D61126"/>
    <w:rsid w:val="00D6118E"/>
    <w:rsid w:val="00D616F1"/>
    <w:rsid w:val="00D6179F"/>
    <w:rsid w:val="00D61C9D"/>
    <w:rsid w:val="00D61D4A"/>
    <w:rsid w:val="00D62075"/>
    <w:rsid w:val="00D628E9"/>
    <w:rsid w:val="00D62B80"/>
    <w:rsid w:val="00D6309D"/>
    <w:rsid w:val="00D63BA2"/>
    <w:rsid w:val="00D64BE2"/>
    <w:rsid w:val="00D65219"/>
    <w:rsid w:val="00D652D7"/>
    <w:rsid w:val="00D65669"/>
    <w:rsid w:val="00D659F2"/>
    <w:rsid w:val="00D65A24"/>
    <w:rsid w:val="00D65BC8"/>
    <w:rsid w:val="00D65D47"/>
    <w:rsid w:val="00D663DE"/>
    <w:rsid w:val="00D667EB"/>
    <w:rsid w:val="00D676A0"/>
    <w:rsid w:val="00D679C7"/>
    <w:rsid w:val="00D67B8C"/>
    <w:rsid w:val="00D70B81"/>
    <w:rsid w:val="00D71457"/>
    <w:rsid w:val="00D7164E"/>
    <w:rsid w:val="00D717DF"/>
    <w:rsid w:val="00D7256D"/>
    <w:rsid w:val="00D7257D"/>
    <w:rsid w:val="00D727D7"/>
    <w:rsid w:val="00D729B8"/>
    <w:rsid w:val="00D735F5"/>
    <w:rsid w:val="00D736B7"/>
    <w:rsid w:val="00D7370F"/>
    <w:rsid w:val="00D73A06"/>
    <w:rsid w:val="00D73E2C"/>
    <w:rsid w:val="00D7451F"/>
    <w:rsid w:val="00D75338"/>
    <w:rsid w:val="00D75BBA"/>
    <w:rsid w:val="00D764DD"/>
    <w:rsid w:val="00D764EA"/>
    <w:rsid w:val="00D76CAE"/>
    <w:rsid w:val="00D76FC9"/>
    <w:rsid w:val="00D7729D"/>
    <w:rsid w:val="00D775E1"/>
    <w:rsid w:val="00D77ACF"/>
    <w:rsid w:val="00D77EF5"/>
    <w:rsid w:val="00D8013A"/>
    <w:rsid w:val="00D802E4"/>
    <w:rsid w:val="00D8046F"/>
    <w:rsid w:val="00D807CE"/>
    <w:rsid w:val="00D8094C"/>
    <w:rsid w:val="00D809C8"/>
    <w:rsid w:val="00D80B6A"/>
    <w:rsid w:val="00D80DC1"/>
    <w:rsid w:val="00D812F2"/>
    <w:rsid w:val="00D816B0"/>
    <w:rsid w:val="00D81E99"/>
    <w:rsid w:val="00D826BE"/>
    <w:rsid w:val="00D82C56"/>
    <w:rsid w:val="00D832DF"/>
    <w:rsid w:val="00D8340D"/>
    <w:rsid w:val="00D8355F"/>
    <w:rsid w:val="00D83569"/>
    <w:rsid w:val="00D83F4A"/>
    <w:rsid w:val="00D8428E"/>
    <w:rsid w:val="00D84484"/>
    <w:rsid w:val="00D846A1"/>
    <w:rsid w:val="00D84AFD"/>
    <w:rsid w:val="00D84C1F"/>
    <w:rsid w:val="00D84DC8"/>
    <w:rsid w:val="00D84E72"/>
    <w:rsid w:val="00D84F9F"/>
    <w:rsid w:val="00D85719"/>
    <w:rsid w:val="00D85DA6"/>
    <w:rsid w:val="00D86135"/>
    <w:rsid w:val="00D8624A"/>
    <w:rsid w:val="00D866C2"/>
    <w:rsid w:val="00D86930"/>
    <w:rsid w:val="00D86D9C"/>
    <w:rsid w:val="00D87234"/>
    <w:rsid w:val="00D90012"/>
    <w:rsid w:val="00D90260"/>
    <w:rsid w:val="00D906B5"/>
    <w:rsid w:val="00D90C6C"/>
    <w:rsid w:val="00D91356"/>
    <w:rsid w:val="00D91832"/>
    <w:rsid w:val="00D919D3"/>
    <w:rsid w:val="00D91B08"/>
    <w:rsid w:val="00D91E6C"/>
    <w:rsid w:val="00D920A2"/>
    <w:rsid w:val="00D9233B"/>
    <w:rsid w:val="00D92528"/>
    <w:rsid w:val="00D92652"/>
    <w:rsid w:val="00D92C32"/>
    <w:rsid w:val="00D92D27"/>
    <w:rsid w:val="00D93113"/>
    <w:rsid w:val="00D93349"/>
    <w:rsid w:val="00D93389"/>
    <w:rsid w:val="00D933D7"/>
    <w:rsid w:val="00D93B65"/>
    <w:rsid w:val="00D94201"/>
    <w:rsid w:val="00D94528"/>
    <w:rsid w:val="00D94A6C"/>
    <w:rsid w:val="00D94B46"/>
    <w:rsid w:val="00D9510A"/>
    <w:rsid w:val="00D9570A"/>
    <w:rsid w:val="00D9574D"/>
    <w:rsid w:val="00D95849"/>
    <w:rsid w:val="00D95B9F"/>
    <w:rsid w:val="00D95F8F"/>
    <w:rsid w:val="00D964B6"/>
    <w:rsid w:val="00D96740"/>
    <w:rsid w:val="00D96974"/>
    <w:rsid w:val="00D96BBF"/>
    <w:rsid w:val="00D973BD"/>
    <w:rsid w:val="00D97BD2"/>
    <w:rsid w:val="00D97FE0"/>
    <w:rsid w:val="00DA0969"/>
    <w:rsid w:val="00DA09DC"/>
    <w:rsid w:val="00DA12DA"/>
    <w:rsid w:val="00DA17A1"/>
    <w:rsid w:val="00DA1E17"/>
    <w:rsid w:val="00DA1EA3"/>
    <w:rsid w:val="00DA20A7"/>
    <w:rsid w:val="00DA219B"/>
    <w:rsid w:val="00DA26E5"/>
    <w:rsid w:val="00DA2960"/>
    <w:rsid w:val="00DA34B1"/>
    <w:rsid w:val="00DA34C3"/>
    <w:rsid w:val="00DA4708"/>
    <w:rsid w:val="00DA47B8"/>
    <w:rsid w:val="00DA4C0F"/>
    <w:rsid w:val="00DA4E34"/>
    <w:rsid w:val="00DA50BB"/>
    <w:rsid w:val="00DA5111"/>
    <w:rsid w:val="00DA64AF"/>
    <w:rsid w:val="00DA7637"/>
    <w:rsid w:val="00DA7C63"/>
    <w:rsid w:val="00DA7D8E"/>
    <w:rsid w:val="00DB009C"/>
    <w:rsid w:val="00DB0406"/>
    <w:rsid w:val="00DB1B77"/>
    <w:rsid w:val="00DB1E28"/>
    <w:rsid w:val="00DB1EE5"/>
    <w:rsid w:val="00DB2892"/>
    <w:rsid w:val="00DB2DB3"/>
    <w:rsid w:val="00DB3D2B"/>
    <w:rsid w:val="00DB3D3D"/>
    <w:rsid w:val="00DB3DC3"/>
    <w:rsid w:val="00DB3FCF"/>
    <w:rsid w:val="00DB41D9"/>
    <w:rsid w:val="00DB53F8"/>
    <w:rsid w:val="00DB55FD"/>
    <w:rsid w:val="00DB56F3"/>
    <w:rsid w:val="00DB68EA"/>
    <w:rsid w:val="00DB6CFA"/>
    <w:rsid w:val="00DB70F2"/>
    <w:rsid w:val="00DB7234"/>
    <w:rsid w:val="00DB7560"/>
    <w:rsid w:val="00DB7702"/>
    <w:rsid w:val="00DB78FE"/>
    <w:rsid w:val="00DB796F"/>
    <w:rsid w:val="00DB7C13"/>
    <w:rsid w:val="00DB7E10"/>
    <w:rsid w:val="00DC01CD"/>
    <w:rsid w:val="00DC0524"/>
    <w:rsid w:val="00DC0548"/>
    <w:rsid w:val="00DC0EB8"/>
    <w:rsid w:val="00DC0FBF"/>
    <w:rsid w:val="00DC12B4"/>
    <w:rsid w:val="00DC153F"/>
    <w:rsid w:val="00DC1AB0"/>
    <w:rsid w:val="00DC2262"/>
    <w:rsid w:val="00DC2B4F"/>
    <w:rsid w:val="00DC2EE0"/>
    <w:rsid w:val="00DC3699"/>
    <w:rsid w:val="00DC3830"/>
    <w:rsid w:val="00DC3917"/>
    <w:rsid w:val="00DC3C50"/>
    <w:rsid w:val="00DC4296"/>
    <w:rsid w:val="00DC42BD"/>
    <w:rsid w:val="00DC48B1"/>
    <w:rsid w:val="00DC599F"/>
    <w:rsid w:val="00DC618B"/>
    <w:rsid w:val="00DC64BC"/>
    <w:rsid w:val="00DC69CA"/>
    <w:rsid w:val="00DD09DD"/>
    <w:rsid w:val="00DD194C"/>
    <w:rsid w:val="00DD1978"/>
    <w:rsid w:val="00DD19BD"/>
    <w:rsid w:val="00DD1C35"/>
    <w:rsid w:val="00DD1FFF"/>
    <w:rsid w:val="00DD2244"/>
    <w:rsid w:val="00DD27AC"/>
    <w:rsid w:val="00DD313F"/>
    <w:rsid w:val="00DD374D"/>
    <w:rsid w:val="00DD3866"/>
    <w:rsid w:val="00DD38E2"/>
    <w:rsid w:val="00DD3A6E"/>
    <w:rsid w:val="00DD3ACE"/>
    <w:rsid w:val="00DD3EE4"/>
    <w:rsid w:val="00DD4E01"/>
    <w:rsid w:val="00DD5A03"/>
    <w:rsid w:val="00DD5FE6"/>
    <w:rsid w:val="00DD607E"/>
    <w:rsid w:val="00DD61EC"/>
    <w:rsid w:val="00DD694D"/>
    <w:rsid w:val="00DD7E21"/>
    <w:rsid w:val="00DD7EE8"/>
    <w:rsid w:val="00DE0AF9"/>
    <w:rsid w:val="00DE104A"/>
    <w:rsid w:val="00DE11AB"/>
    <w:rsid w:val="00DE13DB"/>
    <w:rsid w:val="00DE14E0"/>
    <w:rsid w:val="00DE1506"/>
    <w:rsid w:val="00DE28B6"/>
    <w:rsid w:val="00DE29E7"/>
    <w:rsid w:val="00DE2CC1"/>
    <w:rsid w:val="00DE2ECF"/>
    <w:rsid w:val="00DE352A"/>
    <w:rsid w:val="00DE357B"/>
    <w:rsid w:val="00DE3F1C"/>
    <w:rsid w:val="00DE47AA"/>
    <w:rsid w:val="00DE483D"/>
    <w:rsid w:val="00DE4929"/>
    <w:rsid w:val="00DE499D"/>
    <w:rsid w:val="00DE4B0E"/>
    <w:rsid w:val="00DE5131"/>
    <w:rsid w:val="00DE525A"/>
    <w:rsid w:val="00DE5FC0"/>
    <w:rsid w:val="00DE68F1"/>
    <w:rsid w:val="00DE698F"/>
    <w:rsid w:val="00DE6C3C"/>
    <w:rsid w:val="00DE7246"/>
    <w:rsid w:val="00DE729F"/>
    <w:rsid w:val="00DF0A4C"/>
    <w:rsid w:val="00DF0A8F"/>
    <w:rsid w:val="00DF14C0"/>
    <w:rsid w:val="00DF191E"/>
    <w:rsid w:val="00DF1AF4"/>
    <w:rsid w:val="00DF22EE"/>
    <w:rsid w:val="00DF26A4"/>
    <w:rsid w:val="00DF2C7B"/>
    <w:rsid w:val="00DF30B9"/>
    <w:rsid w:val="00DF3181"/>
    <w:rsid w:val="00DF3A2A"/>
    <w:rsid w:val="00DF3DEA"/>
    <w:rsid w:val="00DF4DBE"/>
    <w:rsid w:val="00DF4FF0"/>
    <w:rsid w:val="00DF5175"/>
    <w:rsid w:val="00DF57B5"/>
    <w:rsid w:val="00DF598A"/>
    <w:rsid w:val="00DF5C11"/>
    <w:rsid w:val="00DF5C9B"/>
    <w:rsid w:val="00DF5D26"/>
    <w:rsid w:val="00DF5E3A"/>
    <w:rsid w:val="00DF5F4F"/>
    <w:rsid w:val="00DF660E"/>
    <w:rsid w:val="00DF73CB"/>
    <w:rsid w:val="00DF7599"/>
    <w:rsid w:val="00DF75C5"/>
    <w:rsid w:val="00DF7642"/>
    <w:rsid w:val="00DF7D68"/>
    <w:rsid w:val="00E0072B"/>
    <w:rsid w:val="00E00A31"/>
    <w:rsid w:val="00E00E58"/>
    <w:rsid w:val="00E00F60"/>
    <w:rsid w:val="00E01AB9"/>
    <w:rsid w:val="00E01DD7"/>
    <w:rsid w:val="00E02853"/>
    <w:rsid w:val="00E02AA8"/>
    <w:rsid w:val="00E02BD5"/>
    <w:rsid w:val="00E037C0"/>
    <w:rsid w:val="00E03913"/>
    <w:rsid w:val="00E039A7"/>
    <w:rsid w:val="00E039F5"/>
    <w:rsid w:val="00E04147"/>
    <w:rsid w:val="00E048B1"/>
    <w:rsid w:val="00E04985"/>
    <w:rsid w:val="00E05D1C"/>
    <w:rsid w:val="00E05E44"/>
    <w:rsid w:val="00E05ED6"/>
    <w:rsid w:val="00E0600B"/>
    <w:rsid w:val="00E06096"/>
    <w:rsid w:val="00E06405"/>
    <w:rsid w:val="00E06781"/>
    <w:rsid w:val="00E067E6"/>
    <w:rsid w:val="00E070C2"/>
    <w:rsid w:val="00E0758E"/>
    <w:rsid w:val="00E0759B"/>
    <w:rsid w:val="00E078E1"/>
    <w:rsid w:val="00E10314"/>
    <w:rsid w:val="00E11288"/>
    <w:rsid w:val="00E115C0"/>
    <w:rsid w:val="00E11841"/>
    <w:rsid w:val="00E11DEB"/>
    <w:rsid w:val="00E1207F"/>
    <w:rsid w:val="00E1258D"/>
    <w:rsid w:val="00E132ED"/>
    <w:rsid w:val="00E13756"/>
    <w:rsid w:val="00E1386B"/>
    <w:rsid w:val="00E13C10"/>
    <w:rsid w:val="00E13CBC"/>
    <w:rsid w:val="00E13E06"/>
    <w:rsid w:val="00E145C3"/>
    <w:rsid w:val="00E14CF2"/>
    <w:rsid w:val="00E14EE8"/>
    <w:rsid w:val="00E1573F"/>
    <w:rsid w:val="00E15786"/>
    <w:rsid w:val="00E158D2"/>
    <w:rsid w:val="00E15A8B"/>
    <w:rsid w:val="00E1620E"/>
    <w:rsid w:val="00E16389"/>
    <w:rsid w:val="00E165F2"/>
    <w:rsid w:val="00E17665"/>
    <w:rsid w:val="00E179D4"/>
    <w:rsid w:val="00E17A34"/>
    <w:rsid w:val="00E17BED"/>
    <w:rsid w:val="00E200D9"/>
    <w:rsid w:val="00E202FA"/>
    <w:rsid w:val="00E20400"/>
    <w:rsid w:val="00E204D3"/>
    <w:rsid w:val="00E20568"/>
    <w:rsid w:val="00E20CEC"/>
    <w:rsid w:val="00E21138"/>
    <w:rsid w:val="00E21569"/>
    <w:rsid w:val="00E2196F"/>
    <w:rsid w:val="00E21A22"/>
    <w:rsid w:val="00E21A9D"/>
    <w:rsid w:val="00E21ADC"/>
    <w:rsid w:val="00E21BBC"/>
    <w:rsid w:val="00E21BEC"/>
    <w:rsid w:val="00E22688"/>
    <w:rsid w:val="00E2287D"/>
    <w:rsid w:val="00E22B1F"/>
    <w:rsid w:val="00E22D77"/>
    <w:rsid w:val="00E22E47"/>
    <w:rsid w:val="00E23598"/>
    <w:rsid w:val="00E23922"/>
    <w:rsid w:val="00E249B6"/>
    <w:rsid w:val="00E24C58"/>
    <w:rsid w:val="00E25166"/>
    <w:rsid w:val="00E2595C"/>
    <w:rsid w:val="00E26300"/>
    <w:rsid w:val="00E2679D"/>
    <w:rsid w:val="00E26A3A"/>
    <w:rsid w:val="00E26D9B"/>
    <w:rsid w:val="00E2742E"/>
    <w:rsid w:val="00E27600"/>
    <w:rsid w:val="00E27862"/>
    <w:rsid w:val="00E27DDB"/>
    <w:rsid w:val="00E27E5E"/>
    <w:rsid w:val="00E30EAE"/>
    <w:rsid w:val="00E3141D"/>
    <w:rsid w:val="00E3271A"/>
    <w:rsid w:val="00E329BA"/>
    <w:rsid w:val="00E32C9B"/>
    <w:rsid w:val="00E3373E"/>
    <w:rsid w:val="00E34B4D"/>
    <w:rsid w:val="00E34F0C"/>
    <w:rsid w:val="00E352E9"/>
    <w:rsid w:val="00E3541D"/>
    <w:rsid w:val="00E3546B"/>
    <w:rsid w:val="00E3567A"/>
    <w:rsid w:val="00E35BFF"/>
    <w:rsid w:val="00E35D51"/>
    <w:rsid w:val="00E3608B"/>
    <w:rsid w:val="00E366EF"/>
    <w:rsid w:val="00E3759B"/>
    <w:rsid w:val="00E37B64"/>
    <w:rsid w:val="00E37F4B"/>
    <w:rsid w:val="00E40807"/>
    <w:rsid w:val="00E40D78"/>
    <w:rsid w:val="00E412CF"/>
    <w:rsid w:val="00E41556"/>
    <w:rsid w:val="00E418C8"/>
    <w:rsid w:val="00E41B87"/>
    <w:rsid w:val="00E42721"/>
    <w:rsid w:val="00E42ADE"/>
    <w:rsid w:val="00E43C4F"/>
    <w:rsid w:val="00E43FBB"/>
    <w:rsid w:val="00E4416C"/>
    <w:rsid w:val="00E452B8"/>
    <w:rsid w:val="00E456B4"/>
    <w:rsid w:val="00E4582E"/>
    <w:rsid w:val="00E45868"/>
    <w:rsid w:val="00E4608E"/>
    <w:rsid w:val="00E46307"/>
    <w:rsid w:val="00E463D0"/>
    <w:rsid w:val="00E46C5F"/>
    <w:rsid w:val="00E46DFB"/>
    <w:rsid w:val="00E46FBA"/>
    <w:rsid w:val="00E4754F"/>
    <w:rsid w:val="00E47779"/>
    <w:rsid w:val="00E47B94"/>
    <w:rsid w:val="00E50435"/>
    <w:rsid w:val="00E508DE"/>
    <w:rsid w:val="00E50A42"/>
    <w:rsid w:val="00E511EC"/>
    <w:rsid w:val="00E51262"/>
    <w:rsid w:val="00E5127A"/>
    <w:rsid w:val="00E515C6"/>
    <w:rsid w:val="00E517A5"/>
    <w:rsid w:val="00E51E1B"/>
    <w:rsid w:val="00E525BD"/>
    <w:rsid w:val="00E52641"/>
    <w:rsid w:val="00E5314C"/>
    <w:rsid w:val="00E53537"/>
    <w:rsid w:val="00E535DC"/>
    <w:rsid w:val="00E541B5"/>
    <w:rsid w:val="00E54725"/>
    <w:rsid w:val="00E54B38"/>
    <w:rsid w:val="00E54E4E"/>
    <w:rsid w:val="00E5514D"/>
    <w:rsid w:val="00E55326"/>
    <w:rsid w:val="00E553FD"/>
    <w:rsid w:val="00E5547E"/>
    <w:rsid w:val="00E55677"/>
    <w:rsid w:val="00E55D5B"/>
    <w:rsid w:val="00E55E4D"/>
    <w:rsid w:val="00E562A1"/>
    <w:rsid w:val="00E565F8"/>
    <w:rsid w:val="00E56781"/>
    <w:rsid w:val="00E5705F"/>
    <w:rsid w:val="00E57183"/>
    <w:rsid w:val="00E57630"/>
    <w:rsid w:val="00E57AC0"/>
    <w:rsid w:val="00E601BB"/>
    <w:rsid w:val="00E60B3F"/>
    <w:rsid w:val="00E60BE8"/>
    <w:rsid w:val="00E60D5F"/>
    <w:rsid w:val="00E60DA8"/>
    <w:rsid w:val="00E61337"/>
    <w:rsid w:val="00E61463"/>
    <w:rsid w:val="00E6187D"/>
    <w:rsid w:val="00E61E9D"/>
    <w:rsid w:val="00E63E73"/>
    <w:rsid w:val="00E64012"/>
    <w:rsid w:val="00E641B1"/>
    <w:rsid w:val="00E6433B"/>
    <w:rsid w:val="00E645FD"/>
    <w:rsid w:val="00E64633"/>
    <w:rsid w:val="00E64671"/>
    <w:rsid w:val="00E657A0"/>
    <w:rsid w:val="00E667FF"/>
    <w:rsid w:val="00E6689E"/>
    <w:rsid w:val="00E66924"/>
    <w:rsid w:val="00E67D96"/>
    <w:rsid w:val="00E70B76"/>
    <w:rsid w:val="00E70CB6"/>
    <w:rsid w:val="00E7130F"/>
    <w:rsid w:val="00E716CF"/>
    <w:rsid w:val="00E71970"/>
    <w:rsid w:val="00E71C71"/>
    <w:rsid w:val="00E724D0"/>
    <w:rsid w:val="00E729FA"/>
    <w:rsid w:val="00E72A04"/>
    <w:rsid w:val="00E72E5C"/>
    <w:rsid w:val="00E73A2B"/>
    <w:rsid w:val="00E73E57"/>
    <w:rsid w:val="00E74EE8"/>
    <w:rsid w:val="00E74FF1"/>
    <w:rsid w:val="00E75238"/>
    <w:rsid w:val="00E75323"/>
    <w:rsid w:val="00E75573"/>
    <w:rsid w:val="00E756D3"/>
    <w:rsid w:val="00E757B0"/>
    <w:rsid w:val="00E75874"/>
    <w:rsid w:val="00E75994"/>
    <w:rsid w:val="00E75A5A"/>
    <w:rsid w:val="00E76115"/>
    <w:rsid w:val="00E7690F"/>
    <w:rsid w:val="00E76BB5"/>
    <w:rsid w:val="00E7735C"/>
    <w:rsid w:val="00E775FA"/>
    <w:rsid w:val="00E802E0"/>
    <w:rsid w:val="00E80597"/>
    <w:rsid w:val="00E80D7B"/>
    <w:rsid w:val="00E81404"/>
    <w:rsid w:val="00E8256A"/>
    <w:rsid w:val="00E825BB"/>
    <w:rsid w:val="00E82AC5"/>
    <w:rsid w:val="00E82D3E"/>
    <w:rsid w:val="00E82FC0"/>
    <w:rsid w:val="00E832E4"/>
    <w:rsid w:val="00E835C9"/>
    <w:rsid w:val="00E83653"/>
    <w:rsid w:val="00E8385C"/>
    <w:rsid w:val="00E84013"/>
    <w:rsid w:val="00E8513A"/>
    <w:rsid w:val="00E85AC8"/>
    <w:rsid w:val="00E86D5D"/>
    <w:rsid w:val="00E87937"/>
    <w:rsid w:val="00E87FCB"/>
    <w:rsid w:val="00E9011C"/>
    <w:rsid w:val="00E906E9"/>
    <w:rsid w:val="00E90969"/>
    <w:rsid w:val="00E910AF"/>
    <w:rsid w:val="00E917BB"/>
    <w:rsid w:val="00E917CB"/>
    <w:rsid w:val="00E9183D"/>
    <w:rsid w:val="00E9203C"/>
    <w:rsid w:val="00E9208D"/>
    <w:rsid w:val="00E92568"/>
    <w:rsid w:val="00E92972"/>
    <w:rsid w:val="00E9299A"/>
    <w:rsid w:val="00E92EDE"/>
    <w:rsid w:val="00E92F4F"/>
    <w:rsid w:val="00E932FC"/>
    <w:rsid w:val="00E93337"/>
    <w:rsid w:val="00E943B1"/>
    <w:rsid w:val="00E94402"/>
    <w:rsid w:val="00E9498C"/>
    <w:rsid w:val="00E953CC"/>
    <w:rsid w:val="00E95542"/>
    <w:rsid w:val="00E959C5"/>
    <w:rsid w:val="00E95BB7"/>
    <w:rsid w:val="00E95BBC"/>
    <w:rsid w:val="00E95D2A"/>
    <w:rsid w:val="00E96637"/>
    <w:rsid w:val="00E96ADC"/>
    <w:rsid w:val="00E96D64"/>
    <w:rsid w:val="00E96E27"/>
    <w:rsid w:val="00E97332"/>
    <w:rsid w:val="00E979A1"/>
    <w:rsid w:val="00E979A2"/>
    <w:rsid w:val="00EA05EF"/>
    <w:rsid w:val="00EA0FBD"/>
    <w:rsid w:val="00EA1428"/>
    <w:rsid w:val="00EA1A7E"/>
    <w:rsid w:val="00EA1B22"/>
    <w:rsid w:val="00EA22CA"/>
    <w:rsid w:val="00EA241D"/>
    <w:rsid w:val="00EA24BE"/>
    <w:rsid w:val="00EA2654"/>
    <w:rsid w:val="00EA265E"/>
    <w:rsid w:val="00EA2BFA"/>
    <w:rsid w:val="00EA2D05"/>
    <w:rsid w:val="00EA2D88"/>
    <w:rsid w:val="00EA2FB5"/>
    <w:rsid w:val="00EA306F"/>
    <w:rsid w:val="00EA3520"/>
    <w:rsid w:val="00EA3714"/>
    <w:rsid w:val="00EA42D9"/>
    <w:rsid w:val="00EA4E72"/>
    <w:rsid w:val="00EA52EB"/>
    <w:rsid w:val="00EA5905"/>
    <w:rsid w:val="00EA5A83"/>
    <w:rsid w:val="00EA5FD7"/>
    <w:rsid w:val="00EA6130"/>
    <w:rsid w:val="00EA667D"/>
    <w:rsid w:val="00EA6AC7"/>
    <w:rsid w:val="00EA75DB"/>
    <w:rsid w:val="00EA7C35"/>
    <w:rsid w:val="00EB0397"/>
    <w:rsid w:val="00EB0754"/>
    <w:rsid w:val="00EB0ECC"/>
    <w:rsid w:val="00EB177D"/>
    <w:rsid w:val="00EB2979"/>
    <w:rsid w:val="00EB2A80"/>
    <w:rsid w:val="00EB3255"/>
    <w:rsid w:val="00EB34DC"/>
    <w:rsid w:val="00EB3B33"/>
    <w:rsid w:val="00EB3B7E"/>
    <w:rsid w:val="00EB3C69"/>
    <w:rsid w:val="00EB423B"/>
    <w:rsid w:val="00EB4493"/>
    <w:rsid w:val="00EB45BF"/>
    <w:rsid w:val="00EB47E6"/>
    <w:rsid w:val="00EB4E10"/>
    <w:rsid w:val="00EB530E"/>
    <w:rsid w:val="00EB5492"/>
    <w:rsid w:val="00EB55FE"/>
    <w:rsid w:val="00EB5B8D"/>
    <w:rsid w:val="00EB5FDE"/>
    <w:rsid w:val="00EB60AA"/>
    <w:rsid w:val="00EB6493"/>
    <w:rsid w:val="00EB66E9"/>
    <w:rsid w:val="00EB7125"/>
    <w:rsid w:val="00EB72C9"/>
    <w:rsid w:val="00EB7310"/>
    <w:rsid w:val="00EB7A36"/>
    <w:rsid w:val="00EC0668"/>
    <w:rsid w:val="00EC0FD2"/>
    <w:rsid w:val="00EC11FC"/>
    <w:rsid w:val="00EC124D"/>
    <w:rsid w:val="00EC1475"/>
    <w:rsid w:val="00EC162B"/>
    <w:rsid w:val="00EC193E"/>
    <w:rsid w:val="00EC1CA5"/>
    <w:rsid w:val="00EC1DE0"/>
    <w:rsid w:val="00EC29C0"/>
    <w:rsid w:val="00EC2F41"/>
    <w:rsid w:val="00EC2F5B"/>
    <w:rsid w:val="00EC3ED5"/>
    <w:rsid w:val="00EC4377"/>
    <w:rsid w:val="00EC459D"/>
    <w:rsid w:val="00EC4676"/>
    <w:rsid w:val="00EC46E6"/>
    <w:rsid w:val="00EC4AC5"/>
    <w:rsid w:val="00EC538A"/>
    <w:rsid w:val="00EC5936"/>
    <w:rsid w:val="00EC5B8D"/>
    <w:rsid w:val="00EC5F3F"/>
    <w:rsid w:val="00EC6845"/>
    <w:rsid w:val="00EC6CA9"/>
    <w:rsid w:val="00EC711C"/>
    <w:rsid w:val="00EC7122"/>
    <w:rsid w:val="00EC73B2"/>
    <w:rsid w:val="00EC77A2"/>
    <w:rsid w:val="00EC77CB"/>
    <w:rsid w:val="00EC7A24"/>
    <w:rsid w:val="00EC7BC0"/>
    <w:rsid w:val="00ED0263"/>
    <w:rsid w:val="00ED1328"/>
    <w:rsid w:val="00ED14C0"/>
    <w:rsid w:val="00ED1532"/>
    <w:rsid w:val="00ED18E0"/>
    <w:rsid w:val="00ED1FF6"/>
    <w:rsid w:val="00ED294E"/>
    <w:rsid w:val="00ED2BF3"/>
    <w:rsid w:val="00ED3058"/>
    <w:rsid w:val="00ED3B48"/>
    <w:rsid w:val="00ED3FB8"/>
    <w:rsid w:val="00ED3FD1"/>
    <w:rsid w:val="00ED40F1"/>
    <w:rsid w:val="00ED43DA"/>
    <w:rsid w:val="00ED45B0"/>
    <w:rsid w:val="00ED568D"/>
    <w:rsid w:val="00ED57C3"/>
    <w:rsid w:val="00ED5867"/>
    <w:rsid w:val="00ED638E"/>
    <w:rsid w:val="00ED6426"/>
    <w:rsid w:val="00ED6C04"/>
    <w:rsid w:val="00ED6E19"/>
    <w:rsid w:val="00ED76D8"/>
    <w:rsid w:val="00ED7B2D"/>
    <w:rsid w:val="00EE0AA0"/>
    <w:rsid w:val="00EE21B9"/>
    <w:rsid w:val="00EE2555"/>
    <w:rsid w:val="00EE2BD2"/>
    <w:rsid w:val="00EE3395"/>
    <w:rsid w:val="00EE349B"/>
    <w:rsid w:val="00EE37E9"/>
    <w:rsid w:val="00EE47B7"/>
    <w:rsid w:val="00EE4862"/>
    <w:rsid w:val="00EE4D3E"/>
    <w:rsid w:val="00EE4FC2"/>
    <w:rsid w:val="00EE541F"/>
    <w:rsid w:val="00EE5BBD"/>
    <w:rsid w:val="00EE5E00"/>
    <w:rsid w:val="00EE626B"/>
    <w:rsid w:val="00EE6B9B"/>
    <w:rsid w:val="00EF00B2"/>
    <w:rsid w:val="00EF01BF"/>
    <w:rsid w:val="00EF04B9"/>
    <w:rsid w:val="00EF08D7"/>
    <w:rsid w:val="00EF099A"/>
    <w:rsid w:val="00EF0AEE"/>
    <w:rsid w:val="00EF1633"/>
    <w:rsid w:val="00EF1DF5"/>
    <w:rsid w:val="00EF22C4"/>
    <w:rsid w:val="00EF2359"/>
    <w:rsid w:val="00EF2704"/>
    <w:rsid w:val="00EF2C20"/>
    <w:rsid w:val="00EF3270"/>
    <w:rsid w:val="00EF36AC"/>
    <w:rsid w:val="00EF3783"/>
    <w:rsid w:val="00EF3899"/>
    <w:rsid w:val="00EF3993"/>
    <w:rsid w:val="00EF3BDC"/>
    <w:rsid w:val="00EF4897"/>
    <w:rsid w:val="00EF512D"/>
    <w:rsid w:val="00EF5965"/>
    <w:rsid w:val="00EF598F"/>
    <w:rsid w:val="00EF59C6"/>
    <w:rsid w:val="00EF5E7B"/>
    <w:rsid w:val="00EF6657"/>
    <w:rsid w:val="00EF783A"/>
    <w:rsid w:val="00F002BF"/>
    <w:rsid w:val="00F00FF2"/>
    <w:rsid w:val="00F015F5"/>
    <w:rsid w:val="00F02975"/>
    <w:rsid w:val="00F02B32"/>
    <w:rsid w:val="00F02CCB"/>
    <w:rsid w:val="00F02CD2"/>
    <w:rsid w:val="00F02E6A"/>
    <w:rsid w:val="00F046D5"/>
    <w:rsid w:val="00F04891"/>
    <w:rsid w:val="00F04D0F"/>
    <w:rsid w:val="00F05C89"/>
    <w:rsid w:val="00F05D00"/>
    <w:rsid w:val="00F06560"/>
    <w:rsid w:val="00F067C3"/>
    <w:rsid w:val="00F06E97"/>
    <w:rsid w:val="00F073C8"/>
    <w:rsid w:val="00F0781C"/>
    <w:rsid w:val="00F079A2"/>
    <w:rsid w:val="00F07C59"/>
    <w:rsid w:val="00F102E0"/>
    <w:rsid w:val="00F10B71"/>
    <w:rsid w:val="00F10DE7"/>
    <w:rsid w:val="00F11152"/>
    <w:rsid w:val="00F11821"/>
    <w:rsid w:val="00F11867"/>
    <w:rsid w:val="00F11906"/>
    <w:rsid w:val="00F12375"/>
    <w:rsid w:val="00F1250C"/>
    <w:rsid w:val="00F1263F"/>
    <w:rsid w:val="00F12703"/>
    <w:rsid w:val="00F12759"/>
    <w:rsid w:val="00F1294B"/>
    <w:rsid w:val="00F132BC"/>
    <w:rsid w:val="00F1353E"/>
    <w:rsid w:val="00F13A20"/>
    <w:rsid w:val="00F13CDF"/>
    <w:rsid w:val="00F14003"/>
    <w:rsid w:val="00F140A2"/>
    <w:rsid w:val="00F140DB"/>
    <w:rsid w:val="00F14B76"/>
    <w:rsid w:val="00F14E2C"/>
    <w:rsid w:val="00F155CB"/>
    <w:rsid w:val="00F15B5D"/>
    <w:rsid w:val="00F15D91"/>
    <w:rsid w:val="00F15E20"/>
    <w:rsid w:val="00F1602C"/>
    <w:rsid w:val="00F160E4"/>
    <w:rsid w:val="00F16365"/>
    <w:rsid w:val="00F169FC"/>
    <w:rsid w:val="00F1726B"/>
    <w:rsid w:val="00F175F0"/>
    <w:rsid w:val="00F17B68"/>
    <w:rsid w:val="00F2032B"/>
    <w:rsid w:val="00F20336"/>
    <w:rsid w:val="00F205BF"/>
    <w:rsid w:val="00F20A82"/>
    <w:rsid w:val="00F20B15"/>
    <w:rsid w:val="00F20B1B"/>
    <w:rsid w:val="00F20BBD"/>
    <w:rsid w:val="00F22135"/>
    <w:rsid w:val="00F2252A"/>
    <w:rsid w:val="00F22CF9"/>
    <w:rsid w:val="00F232FF"/>
    <w:rsid w:val="00F23606"/>
    <w:rsid w:val="00F245DB"/>
    <w:rsid w:val="00F24649"/>
    <w:rsid w:val="00F2486F"/>
    <w:rsid w:val="00F2494F"/>
    <w:rsid w:val="00F24E7C"/>
    <w:rsid w:val="00F25C30"/>
    <w:rsid w:val="00F25CD3"/>
    <w:rsid w:val="00F266F5"/>
    <w:rsid w:val="00F269AA"/>
    <w:rsid w:val="00F26A31"/>
    <w:rsid w:val="00F26CFA"/>
    <w:rsid w:val="00F27210"/>
    <w:rsid w:val="00F27E2C"/>
    <w:rsid w:val="00F27E4B"/>
    <w:rsid w:val="00F27E58"/>
    <w:rsid w:val="00F300DE"/>
    <w:rsid w:val="00F3013E"/>
    <w:rsid w:val="00F304A0"/>
    <w:rsid w:val="00F304F5"/>
    <w:rsid w:val="00F30548"/>
    <w:rsid w:val="00F3113E"/>
    <w:rsid w:val="00F3127F"/>
    <w:rsid w:val="00F3249F"/>
    <w:rsid w:val="00F32A63"/>
    <w:rsid w:val="00F32B8E"/>
    <w:rsid w:val="00F332C8"/>
    <w:rsid w:val="00F33686"/>
    <w:rsid w:val="00F3368A"/>
    <w:rsid w:val="00F339C7"/>
    <w:rsid w:val="00F33BCC"/>
    <w:rsid w:val="00F34019"/>
    <w:rsid w:val="00F346BF"/>
    <w:rsid w:val="00F3489F"/>
    <w:rsid w:val="00F349F1"/>
    <w:rsid w:val="00F34F6A"/>
    <w:rsid w:val="00F353E8"/>
    <w:rsid w:val="00F35C8B"/>
    <w:rsid w:val="00F35D73"/>
    <w:rsid w:val="00F36025"/>
    <w:rsid w:val="00F3638F"/>
    <w:rsid w:val="00F3649F"/>
    <w:rsid w:val="00F36F64"/>
    <w:rsid w:val="00F3702E"/>
    <w:rsid w:val="00F3745C"/>
    <w:rsid w:val="00F3759A"/>
    <w:rsid w:val="00F3792B"/>
    <w:rsid w:val="00F37A53"/>
    <w:rsid w:val="00F4028E"/>
    <w:rsid w:val="00F409AA"/>
    <w:rsid w:val="00F40A9E"/>
    <w:rsid w:val="00F40BC9"/>
    <w:rsid w:val="00F415E9"/>
    <w:rsid w:val="00F418D2"/>
    <w:rsid w:val="00F41969"/>
    <w:rsid w:val="00F41A04"/>
    <w:rsid w:val="00F424A9"/>
    <w:rsid w:val="00F43245"/>
    <w:rsid w:val="00F436E7"/>
    <w:rsid w:val="00F439C3"/>
    <w:rsid w:val="00F4405F"/>
    <w:rsid w:val="00F444AF"/>
    <w:rsid w:val="00F45159"/>
    <w:rsid w:val="00F45440"/>
    <w:rsid w:val="00F457C7"/>
    <w:rsid w:val="00F45AE9"/>
    <w:rsid w:val="00F45B65"/>
    <w:rsid w:val="00F45C04"/>
    <w:rsid w:val="00F4636D"/>
    <w:rsid w:val="00F4668D"/>
    <w:rsid w:val="00F46C19"/>
    <w:rsid w:val="00F46C50"/>
    <w:rsid w:val="00F46EB7"/>
    <w:rsid w:val="00F46F20"/>
    <w:rsid w:val="00F47216"/>
    <w:rsid w:val="00F472AE"/>
    <w:rsid w:val="00F4736C"/>
    <w:rsid w:val="00F47A1B"/>
    <w:rsid w:val="00F47B31"/>
    <w:rsid w:val="00F503F2"/>
    <w:rsid w:val="00F5053C"/>
    <w:rsid w:val="00F50A60"/>
    <w:rsid w:val="00F50F79"/>
    <w:rsid w:val="00F50F89"/>
    <w:rsid w:val="00F51065"/>
    <w:rsid w:val="00F5139A"/>
    <w:rsid w:val="00F51526"/>
    <w:rsid w:val="00F515F2"/>
    <w:rsid w:val="00F51975"/>
    <w:rsid w:val="00F51F9D"/>
    <w:rsid w:val="00F5208F"/>
    <w:rsid w:val="00F52127"/>
    <w:rsid w:val="00F521C6"/>
    <w:rsid w:val="00F52A54"/>
    <w:rsid w:val="00F52CAC"/>
    <w:rsid w:val="00F53159"/>
    <w:rsid w:val="00F5332F"/>
    <w:rsid w:val="00F53444"/>
    <w:rsid w:val="00F5350E"/>
    <w:rsid w:val="00F5393D"/>
    <w:rsid w:val="00F54235"/>
    <w:rsid w:val="00F548BC"/>
    <w:rsid w:val="00F54B03"/>
    <w:rsid w:val="00F54FA7"/>
    <w:rsid w:val="00F554B3"/>
    <w:rsid w:val="00F5559C"/>
    <w:rsid w:val="00F5572E"/>
    <w:rsid w:val="00F5588B"/>
    <w:rsid w:val="00F5597C"/>
    <w:rsid w:val="00F55A52"/>
    <w:rsid w:val="00F55CCD"/>
    <w:rsid w:val="00F567B1"/>
    <w:rsid w:val="00F569AD"/>
    <w:rsid w:val="00F56A51"/>
    <w:rsid w:val="00F56B65"/>
    <w:rsid w:val="00F56BEE"/>
    <w:rsid w:val="00F56CC5"/>
    <w:rsid w:val="00F57E6D"/>
    <w:rsid w:val="00F60A5B"/>
    <w:rsid w:val="00F60F02"/>
    <w:rsid w:val="00F61048"/>
    <w:rsid w:val="00F6178D"/>
    <w:rsid w:val="00F61AB1"/>
    <w:rsid w:val="00F61BA4"/>
    <w:rsid w:val="00F61CCD"/>
    <w:rsid w:val="00F623D6"/>
    <w:rsid w:val="00F62507"/>
    <w:rsid w:val="00F632C9"/>
    <w:rsid w:val="00F63531"/>
    <w:rsid w:val="00F649BA"/>
    <w:rsid w:val="00F64B51"/>
    <w:rsid w:val="00F64BED"/>
    <w:rsid w:val="00F64E11"/>
    <w:rsid w:val="00F64FAB"/>
    <w:rsid w:val="00F65107"/>
    <w:rsid w:val="00F6611F"/>
    <w:rsid w:val="00F66619"/>
    <w:rsid w:val="00F66787"/>
    <w:rsid w:val="00F66B8D"/>
    <w:rsid w:val="00F66DAD"/>
    <w:rsid w:val="00F67051"/>
    <w:rsid w:val="00F670F4"/>
    <w:rsid w:val="00F67102"/>
    <w:rsid w:val="00F67325"/>
    <w:rsid w:val="00F67616"/>
    <w:rsid w:val="00F6768D"/>
    <w:rsid w:val="00F679FA"/>
    <w:rsid w:val="00F67AAE"/>
    <w:rsid w:val="00F70BC9"/>
    <w:rsid w:val="00F70D6E"/>
    <w:rsid w:val="00F71545"/>
    <w:rsid w:val="00F71891"/>
    <w:rsid w:val="00F71F41"/>
    <w:rsid w:val="00F720BA"/>
    <w:rsid w:val="00F728B3"/>
    <w:rsid w:val="00F72A82"/>
    <w:rsid w:val="00F72CC7"/>
    <w:rsid w:val="00F7308F"/>
    <w:rsid w:val="00F735C5"/>
    <w:rsid w:val="00F73D57"/>
    <w:rsid w:val="00F742F2"/>
    <w:rsid w:val="00F751DC"/>
    <w:rsid w:val="00F7565A"/>
    <w:rsid w:val="00F75678"/>
    <w:rsid w:val="00F75B90"/>
    <w:rsid w:val="00F761CC"/>
    <w:rsid w:val="00F76280"/>
    <w:rsid w:val="00F76D56"/>
    <w:rsid w:val="00F76F15"/>
    <w:rsid w:val="00F7733B"/>
    <w:rsid w:val="00F775D9"/>
    <w:rsid w:val="00F778A5"/>
    <w:rsid w:val="00F778FA"/>
    <w:rsid w:val="00F77C9B"/>
    <w:rsid w:val="00F800C9"/>
    <w:rsid w:val="00F80AAE"/>
    <w:rsid w:val="00F80D00"/>
    <w:rsid w:val="00F80E1A"/>
    <w:rsid w:val="00F81630"/>
    <w:rsid w:val="00F81702"/>
    <w:rsid w:val="00F81AB0"/>
    <w:rsid w:val="00F831E3"/>
    <w:rsid w:val="00F83758"/>
    <w:rsid w:val="00F83B82"/>
    <w:rsid w:val="00F8424B"/>
    <w:rsid w:val="00F84811"/>
    <w:rsid w:val="00F84AB8"/>
    <w:rsid w:val="00F84E7B"/>
    <w:rsid w:val="00F84F3A"/>
    <w:rsid w:val="00F85388"/>
    <w:rsid w:val="00F85406"/>
    <w:rsid w:val="00F8543E"/>
    <w:rsid w:val="00F857B5"/>
    <w:rsid w:val="00F866E7"/>
    <w:rsid w:val="00F86B1B"/>
    <w:rsid w:val="00F86C9F"/>
    <w:rsid w:val="00F87A45"/>
    <w:rsid w:val="00F87CA1"/>
    <w:rsid w:val="00F9065E"/>
    <w:rsid w:val="00F9069B"/>
    <w:rsid w:val="00F90FD9"/>
    <w:rsid w:val="00F918EC"/>
    <w:rsid w:val="00F9193F"/>
    <w:rsid w:val="00F91E64"/>
    <w:rsid w:val="00F924D4"/>
    <w:rsid w:val="00F925C5"/>
    <w:rsid w:val="00F93099"/>
    <w:rsid w:val="00F935B7"/>
    <w:rsid w:val="00F945C4"/>
    <w:rsid w:val="00F9478C"/>
    <w:rsid w:val="00F947CF"/>
    <w:rsid w:val="00F9483B"/>
    <w:rsid w:val="00F949E0"/>
    <w:rsid w:val="00F94A85"/>
    <w:rsid w:val="00F95634"/>
    <w:rsid w:val="00F95AFC"/>
    <w:rsid w:val="00F9641B"/>
    <w:rsid w:val="00F97935"/>
    <w:rsid w:val="00F97964"/>
    <w:rsid w:val="00F97CFD"/>
    <w:rsid w:val="00FA006E"/>
    <w:rsid w:val="00FA05E4"/>
    <w:rsid w:val="00FA087A"/>
    <w:rsid w:val="00FA0A80"/>
    <w:rsid w:val="00FA0B02"/>
    <w:rsid w:val="00FA0CBF"/>
    <w:rsid w:val="00FA15A0"/>
    <w:rsid w:val="00FA1734"/>
    <w:rsid w:val="00FA1CD3"/>
    <w:rsid w:val="00FA3164"/>
    <w:rsid w:val="00FA39E3"/>
    <w:rsid w:val="00FA3F1B"/>
    <w:rsid w:val="00FA417C"/>
    <w:rsid w:val="00FA4488"/>
    <w:rsid w:val="00FA46B6"/>
    <w:rsid w:val="00FA474E"/>
    <w:rsid w:val="00FA4B6E"/>
    <w:rsid w:val="00FA4F6C"/>
    <w:rsid w:val="00FA532E"/>
    <w:rsid w:val="00FA5447"/>
    <w:rsid w:val="00FA576C"/>
    <w:rsid w:val="00FA57ED"/>
    <w:rsid w:val="00FA65F6"/>
    <w:rsid w:val="00FA6782"/>
    <w:rsid w:val="00FA679F"/>
    <w:rsid w:val="00FA71C2"/>
    <w:rsid w:val="00FA736A"/>
    <w:rsid w:val="00FA7F07"/>
    <w:rsid w:val="00FB0048"/>
    <w:rsid w:val="00FB037E"/>
    <w:rsid w:val="00FB0420"/>
    <w:rsid w:val="00FB048B"/>
    <w:rsid w:val="00FB077B"/>
    <w:rsid w:val="00FB07DF"/>
    <w:rsid w:val="00FB1490"/>
    <w:rsid w:val="00FB1721"/>
    <w:rsid w:val="00FB1A81"/>
    <w:rsid w:val="00FB1E33"/>
    <w:rsid w:val="00FB2276"/>
    <w:rsid w:val="00FB22D2"/>
    <w:rsid w:val="00FB3055"/>
    <w:rsid w:val="00FB3129"/>
    <w:rsid w:val="00FB3217"/>
    <w:rsid w:val="00FB3979"/>
    <w:rsid w:val="00FB3AD2"/>
    <w:rsid w:val="00FB4588"/>
    <w:rsid w:val="00FB56FA"/>
    <w:rsid w:val="00FB58AA"/>
    <w:rsid w:val="00FB7408"/>
    <w:rsid w:val="00FB7658"/>
    <w:rsid w:val="00FB77D1"/>
    <w:rsid w:val="00FB7C42"/>
    <w:rsid w:val="00FB7E68"/>
    <w:rsid w:val="00FC056E"/>
    <w:rsid w:val="00FC13B4"/>
    <w:rsid w:val="00FC1BFA"/>
    <w:rsid w:val="00FC1FC5"/>
    <w:rsid w:val="00FC2176"/>
    <w:rsid w:val="00FC2670"/>
    <w:rsid w:val="00FC2AA8"/>
    <w:rsid w:val="00FC2AF9"/>
    <w:rsid w:val="00FC3936"/>
    <w:rsid w:val="00FC3AE3"/>
    <w:rsid w:val="00FC3E6C"/>
    <w:rsid w:val="00FC452F"/>
    <w:rsid w:val="00FC4861"/>
    <w:rsid w:val="00FC513E"/>
    <w:rsid w:val="00FC541C"/>
    <w:rsid w:val="00FC5648"/>
    <w:rsid w:val="00FC5897"/>
    <w:rsid w:val="00FC58CF"/>
    <w:rsid w:val="00FC5E77"/>
    <w:rsid w:val="00FC5FBC"/>
    <w:rsid w:val="00FC6A30"/>
    <w:rsid w:val="00FC6CAA"/>
    <w:rsid w:val="00FC7048"/>
    <w:rsid w:val="00FC7214"/>
    <w:rsid w:val="00FC72E9"/>
    <w:rsid w:val="00FC79DF"/>
    <w:rsid w:val="00FC7A83"/>
    <w:rsid w:val="00FC7AAD"/>
    <w:rsid w:val="00FC7D11"/>
    <w:rsid w:val="00FC7EFF"/>
    <w:rsid w:val="00FD01D6"/>
    <w:rsid w:val="00FD0285"/>
    <w:rsid w:val="00FD0CCE"/>
    <w:rsid w:val="00FD1012"/>
    <w:rsid w:val="00FD12D3"/>
    <w:rsid w:val="00FD138C"/>
    <w:rsid w:val="00FD13C2"/>
    <w:rsid w:val="00FD174A"/>
    <w:rsid w:val="00FD1AA0"/>
    <w:rsid w:val="00FD1B4C"/>
    <w:rsid w:val="00FD1D21"/>
    <w:rsid w:val="00FD2178"/>
    <w:rsid w:val="00FD33D4"/>
    <w:rsid w:val="00FD35CF"/>
    <w:rsid w:val="00FD4E1C"/>
    <w:rsid w:val="00FD4ECE"/>
    <w:rsid w:val="00FD53BF"/>
    <w:rsid w:val="00FD590F"/>
    <w:rsid w:val="00FD5BB0"/>
    <w:rsid w:val="00FD66E1"/>
    <w:rsid w:val="00FD6B55"/>
    <w:rsid w:val="00FD6F4F"/>
    <w:rsid w:val="00FD6F5E"/>
    <w:rsid w:val="00FD71BF"/>
    <w:rsid w:val="00FD7565"/>
    <w:rsid w:val="00FD7992"/>
    <w:rsid w:val="00FD7A23"/>
    <w:rsid w:val="00FD7F68"/>
    <w:rsid w:val="00FE0A70"/>
    <w:rsid w:val="00FE0DF6"/>
    <w:rsid w:val="00FE0E96"/>
    <w:rsid w:val="00FE1390"/>
    <w:rsid w:val="00FE18EF"/>
    <w:rsid w:val="00FE214C"/>
    <w:rsid w:val="00FE22C1"/>
    <w:rsid w:val="00FE239D"/>
    <w:rsid w:val="00FE23A1"/>
    <w:rsid w:val="00FE2404"/>
    <w:rsid w:val="00FE2645"/>
    <w:rsid w:val="00FE3020"/>
    <w:rsid w:val="00FE303D"/>
    <w:rsid w:val="00FE305D"/>
    <w:rsid w:val="00FE3D35"/>
    <w:rsid w:val="00FE4241"/>
    <w:rsid w:val="00FE4405"/>
    <w:rsid w:val="00FE4409"/>
    <w:rsid w:val="00FE4497"/>
    <w:rsid w:val="00FE48A2"/>
    <w:rsid w:val="00FE4B0C"/>
    <w:rsid w:val="00FE4CBA"/>
    <w:rsid w:val="00FE4CBE"/>
    <w:rsid w:val="00FE513C"/>
    <w:rsid w:val="00FE56DD"/>
    <w:rsid w:val="00FE57DB"/>
    <w:rsid w:val="00FE5B5C"/>
    <w:rsid w:val="00FE5BE4"/>
    <w:rsid w:val="00FE5F17"/>
    <w:rsid w:val="00FE7221"/>
    <w:rsid w:val="00FE748B"/>
    <w:rsid w:val="00FE7715"/>
    <w:rsid w:val="00FE775C"/>
    <w:rsid w:val="00FE7AB1"/>
    <w:rsid w:val="00FE7D97"/>
    <w:rsid w:val="00FF08B8"/>
    <w:rsid w:val="00FF0EEC"/>
    <w:rsid w:val="00FF107B"/>
    <w:rsid w:val="00FF13D7"/>
    <w:rsid w:val="00FF1667"/>
    <w:rsid w:val="00FF1AA9"/>
    <w:rsid w:val="00FF2CF1"/>
    <w:rsid w:val="00FF3968"/>
    <w:rsid w:val="00FF3A7A"/>
    <w:rsid w:val="00FF3B5B"/>
    <w:rsid w:val="00FF4E30"/>
    <w:rsid w:val="00FF50C1"/>
    <w:rsid w:val="00FF510F"/>
    <w:rsid w:val="00FF55EA"/>
    <w:rsid w:val="00FF5EE6"/>
    <w:rsid w:val="00FF6D1B"/>
    <w:rsid w:val="00FF7117"/>
    <w:rsid w:val="00FF7759"/>
    <w:rsid w:val="00FF7AB2"/>
    <w:rsid w:val="010C424B"/>
    <w:rsid w:val="013B5E1E"/>
    <w:rsid w:val="01614521"/>
    <w:rsid w:val="01D23E58"/>
    <w:rsid w:val="01D426FE"/>
    <w:rsid w:val="01D68616"/>
    <w:rsid w:val="01DB5D0B"/>
    <w:rsid w:val="01FF2F62"/>
    <w:rsid w:val="02490B3D"/>
    <w:rsid w:val="0261BB1A"/>
    <w:rsid w:val="0292B12F"/>
    <w:rsid w:val="029742BB"/>
    <w:rsid w:val="02AF2A56"/>
    <w:rsid w:val="037895A8"/>
    <w:rsid w:val="03825B6D"/>
    <w:rsid w:val="03A24CF8"/>
    <w:rsid w:val="03B64076"/>
    <w:rsid w:val="03CCB02C"/>
    <w:rsid w:val="04081908"/>
    <w:rsid w:val="04201B77"/>
    <w:rsid w:val="04366F16"/>
    <w:rsid w:val="04A77079"/>
    <w:rsid w:val="0502B4BB"/>
    <w:rsid w:val="057CDD7A"/>
    <w:rsid w:val="05DBDA55"/>
    <w:rsid w:val="05E2095F"/>
    <w:rsid w:val="061B8DE7"/>
    <w:rsid w:val="062DF378"/>
    <w:rsid w:val="064B4646"/>
    <w:rsid w:val="06521F8B"/>
    <w:rsid w:val="0673BF48"/>
    <w:rsid w:val="068CCD22"/>
    <w:rsid w:val="069FCD1B"/>
    <w:rsid w:val="06BFE40C"/>
    <w:rsid w:val="06C73718"/>
    <w:rsid w:val="06D4D80B"/>
    <w:rsid w:val="073477F8"/>
    <w:rsid w:val="073FB9CA"/>
    <w:rsid w:val="077EC4F3"/>
    <w:rsid w:val="07BB55BD"/>
    <w:rsid w:val="07C03FBA"/>
    <w:rsid w:val="07C98ED7"/>
    <w:rsid w:val="07ED85E9"/>
    <w:rsid w:val="0800B5E6"/>
    <w:rsid w:val="080EC1F5"/>
    <w:rsid w:val="083F53E8"/>
    <w:rsid w:val="0886F8F2"/>
    <w:rsid w:val="0887037E"/>
    <w:rsid w:val="08CD3D79"/>
    <w:rsid w:val="091EEFE1"/>
    <w:rsid w:val="092F606F"/>
    <w:rsid w:val="0955F5A9"/>
    <w:rsid w:val="0990986D"/>
    <w:rsid w:val="09DB9F45"/>
    <w:rsid w:val="09E85676"/>
    <w:rsid w:val="09EB502F"/>
    <w:rsid w:val="09F926ED"/>
    <w:rsid w:val="0A0132D0"/>
    <w:rsid w:val="0A125D34"/>
    <w:rsid w:val="0A22C953"/>
    <w:rsid w:val="0A953305"/>
    <w:rsid w:val="0B85D1A1"/>
    <w:rsid w:val="0B9D24C8"/>
    <w:rsid w:val="0BA051EB"/>
    <w:rsid w:val="0BF4D896"/>
    <w:rsid w:val="0CACC748"/>
    <w:rsid w:val="0CC07772"/>
    <w:rsid w:val="0CE45235"/>
    <w:rsid w:val="0D1E4CD6"/>
    <w:rsid w:val="0D492F3E"/>
    <w:rsid w:val="0D82341D"/>
    <w:rsid w:val="0DFB2F43"/>
    <w:rsid w:val="0E25EA0B"/>
    <w:rsid w:val="0E2F4DC7"/>
    <w:rsid w:val="0E55E920"/>
    <w:rsid w:val="0E95120A"/>
    <w:rsid w:val="0E99A429"/>
    <w:rsid w:val="0F2038C7"/>
    <w:rsid w:val="0F51334A"/>
    <w:rsid w:val="0F6AB6A9"/>
    <w:rsid w:val="0F74CE68"/>
    <w:rsid w:val="0FB55198"/>
    <w:rsid w:val="0FCB1E28"/>
    <w:rsid w:val="0FD0D50C"/>
    <w:rsid w:val="10B107F6"/>
    <w:rsid w:val="10D16E9B"/>
    <w:rsid w:val="11842230"/>
    <w:rsid w:val="1197BD44"/>
    <w:rsid w:val="11B10DBD"/>
    <w:rsid w:val="11C416A2"/>
    <w:rsid w:val="11D33621"/>
    <w:rsid w:val="11E28A2B"/>
    <w:rsid w:val="12231B6A"/>
    <w:rsid w:val="12334C98"/>
    <w:rsid w:val="12A37D0B"/>
    <w:rsid w:val="12E543C8"/>
    <w:rsid w:val="1300B118"/>
    <w:rsid w:val="131CDA31"/>
    <w:rsid w:val="132B7894"/>
    <w:rsid w:val="13673D93"/>
    <w:rsid w:val="1396F13E"/>
    <w:rsid w:val="13C1B9D8"/>
    <w:rsid w:val="14047F1B"/>
    <w:rsid w:val="14123E93"/>
    <w:rsid w:val="147B48E6"/>
    <w:rsid w:val="1508E5AD"/>
    <w:rsid w:val="151AFFFE"/>
    <w:rsid w:val="15220E0A"/>
    <w:rsid w:val="152F08F8"/>
    <w:rsid w:val="15304BE7"/>
    <w:rsid w:val="155190AA"/>
    <w:rsid w:val="1554E174"/>
    <w:rsid w:val="16150BE9"/>
    <w:rsid w:val="16936C38"/>
    <w:rsid w:val="16DC3DC2"/>
    <w:rsid w:val="170291CC"/>
    <w:rsid w:val="170475E7"/>
    <w:rsid w:val="17152296"/>
    <w:rsid w:val="1750C7B7"/>
    <w:rsid w:val="1759D06E"/>
    <w:rsid w:val="17C81C2F"/>
    <w:rsid w:val="17D56F98"/>
    <w:rsid w:val="17FD38CF"/>
    <w:rsid w:val="182D84F0"/>
    <w:rsid w:val="183B2A46"/>
    <w:rsid w:val="1849A087"/>
    <w:rsid w:val="185C26A7"/>
    <w:rsid w:val="1870090F"/>
    <w:rsid w:val="189D1CBC"/>
    <w:rsid w:val="18A1629E"/>
    <w:rsid w:val="18C47390"/>
    <w:rsid w:val="192CF722"/>
    <w:rsid w:val="1977B752"/>
    <w:rsid w:val="1A15961E"/>
    <w:rsid w:val="1A67FF87"/>
    <w:rsid w:val="1A9E4944"/>
    <w:rsid w:val="1B24C68B"/>
    <w:rsid w:val="1B430CE4"/>
    <w:rsid w:val="1B582E58"/>
    <w:rsid w:val="1B6ECFB6"/>
    <w:rsid w:val="1B766970"/>
    <w:rsid w:val="1B966EFA"/>
    <w:rsid w:val="1BDEBFA2"/>
    <w:rsid w:val="1BF36394"/>
    <w:rsid w:val="1C06EB1A"/>
    <w:rsid w:val="1C42E297"/>
    <w:rsid w:val="1C5FA9D9"/>
    <w:rsid w:val="1C7017C9"/>
    <w:rsid w:val="1C7CE064"/>
    <w:rsid w:val="1C9ABE1C"/>
    <w:rsid w:val="1CB303A9"/>
    <w:rsid w:val="1CB3B524"/>
    <w:rsid w:val="1CDE85D9"/>
    <w:rsid w:val="1CEC266C"/>
    <w:rsid w:val="1D34EFD4"/>
    <w:rsid w:val="1D7538F4"/>
    <w:rsid w:val="1D86F858"/>
    <w:rsid w:val="1DEF6967"/>
    <w:rsid w:val="1E10364E"/>
    <w:rsid w:val="1E2533E8"/>
    <w:rsid w:val="1E5B53C3"/>
    <w:rsid w:val="1ED0C035"/>
    <w:rsid w:val="1EDDA412"/>
    <w:rsid w:val="1EF0FF7B"/>
    <w:rsid w:val="1EFB2369"/>
    <w:rsid w:val="1F6180D8"/>
    <w:rsid w:val="1F7E0AB0"/>
    <w:rsid w:val="1FA6B3B9"/>
    <w:rsid w:val="1FCB2B53"/>
    <w:rsid w:val="1FE5EF6E"/>
    <w:rsid w:val="200EFD26"/>
    <w:rsid w:val="201CACC1"/>
    <w:rsid w:val="2023B57D"/>
    <w:rsid w:val="20574ED8"/>
    <w:rsid w:val="205D78BE"/>
    <w:rsid w:val="2092A5C9"/>
    <w:rsid w:val="20D7993E"/>
    <w:rsid w:val="20E1FD3F"/>
    <w:rsid w:val="20FDD6EC"/>
    <w:rsid w:val="2100B2B4"/>
    <w:rsid w:val="21153E55"/>
    <w:rsid w:val="213B8C3E"/>
    <w:rsid w:val="217B6EFB"/>
    <w:rsid w:val="2182B78D"/>
    <w:rsid w:val="21A09CA9"/>
    <w:rsid w:val="21BB68F3"/>
    <w:rsid w:val="21F475A7"/>
    <w:rsid w:val="2205B07E"/>
    <w:rsid w:val="221EB83C"/>
    <w:rsid w:val="221ED8DB"/>
    <w:rsid w:val="2220A803"/>
    <w:rsid w:val="22218954"/>
    <w:rsid w:val="223B8A09"/>
    <w:rsid w:val="22B10EB6"/>
    <w:rsid w:val="22D9CAA2"/>
    <w:rsid w:val="234F7737"/>
    <w:rsid w:val="238E063B"/>
    <w:rsid w:val="23A35007"/>
    <w:rsid w:val="23BD80B3"/>
    <w:rsid w:val="23C31C2C"/>
    <w:rsid w:val="23D4B39A"/>
    <w:rsid w:val="23DBB54B"/>
    <w:rsid w:val="23F07231"/>
    <w:rsid w:val="23F7DCDC"/>
    <w:rsid w:val="23FC9A70"/>
    <w:rsid w:val="24037401"/>
    <w:rsid w:val="242A0591"/>
    <w:rsid w:val="24501A78"/>
    <w:rsid w:val="249D22DB"/>
    <w:rsid w:val="24AD2FD4"/>
    <w:rsid w:val="24BA69F9"/>
    <w:rsid w:val="24D6DEEA"/>
    <w:rsid w:val="24FA1DF4"/>
    <w:rsid w:val="2580175F"/>
    <w:rsid w:val="25929C7B"/>
    <w:rsid w:val="25A573E8"/>
    <w:rsid w:val="25AB0A61"/>
    <w:rsid w:val="25C2C149"/>
    <w:rsid w:val="25D83C50"/>
    <w:rsid w:val="25E9D795"/>
    <w:rsid w:val="26420531"/>
    <w:rsid w:val="26563A5A"/>
    <w:rsid w:val="2701241E"/>
    <w:rsid w:val="2711353A"/>
    <w:rsid w:val="27194F7C"/>
    <w:rsid w:val="271E62EF"/>
    <w:rsid w:val="27A93C1E"/>
    <w:rsid w:val="281039AC"/>
    <w:rsid w:val="2815D771"/>
    <w:rsid w:val="281DD4DC"/>
    <w:rsid w:val="28623001"/>
    <w:rsid w:val="28B81F4E"/>
    <w:rsid w:val="28DF31C5"/>
    <w:rsid w:val="2948B98B"/>
    <w:rsid w:val="29D817D8"/>
    <w:rsid w:val="29FDFE4D"/>
    <w:rsid w:val="2A10C263"/>
    <w:rsid w:val="2A182D9E"/>
    <w:rsid w:val="2A2D60B5"/>
    <w:rsid w:val="2A7D6EEF"/>
    <w:rsid w:val="2A80FBBF"/>
    <w:rsid w:val="2AC70FEC"/>
    <w:rsid w:val="2AFC97D0"/>
    <w:rsid w:val="2B319903"/>
    <w:rsid w:val="2B323954"/>
    <w:rsid w:val="2B3AE654"/>
    <w:rsid w:val="2B507BD4"/>
    <w:rsid w:val="2BC0A0EC"/>
    <w:rsid w:val="2C1D3D37"/>
    <w:rsid w:val="2C5A4100"/>
    <w:rsid w:val="2C5BEE2A"/>
    <w:rsid w:val="2CAC9B89"/>
    <w:rsid w:val="2CB1908E"/>
    <w:rsid w:val="2D158E6D"/>
    <w:rsid w:val="2D1A8A0E"/>
    <w:rsid w:val="2E25FA7A"/>
    <w:rsid w:val="2E261B26"/>
    <w:rsid w:val="2E501168"/>
    <w:rsid w:val="2E5BAA46"/>
    <w:rsid w:val="2E93CE36"/>
    <w:rsid w:val="2EB9D052"/>
    <w:rsid w:val="2ECDD943"/>
    <w:rsid w:val="2ECFBF14"/>
    <w:rsid w:val="2EEB5F83"/>
    <w:rsid w:val="2EEC510A"/>
    <w:rsid w:val="2F00ACAD"/>
    <w:rsid w:val="2F0145E4"/>
    <w:rsid w:val="2F2286AD"/>
    <w:rsid w:val="2F307EAB"/>
    <w:rsid w:val="2F43D45B"/>
    <w:rsid w:val="2F550D14"/>
    <w:rsid w:val="2F68CD1B"/>
    <w:rsid w:val="2F9FCD3B"/>
    <w:rsid w:val="2FA94B18"/>
    <w:rsid w:val="2FFD1CA0"/>
    <w:rsid w:val="3019D376"/>
    <w:rsid w:val="30552672"/>
    <w:rsid w:val="308C0136"/>
    <w:rsid w:val="31D99370"/>
    <w:rsid w:val="3234A546"/>
    <w:rsid w:val="326E4590"/>
    <w:rsid w:val="328E25A6"/>
    <w:rsid w:val="32F77FE2"/>
    <w:rsid w:val="331247B4"/>
    <w:rsid w:val="33172AF8"/>
    <w:rsid w:val="332FEB95"/>
    <w:rsid w:val="333AD9A8"/>
    <w:rsid w:val="3361946F"/>
    <w:rsid w:val="337563D1"/>
    <w:rsid w:val="339227C8"/>
    <w:rsid w:val="34028BC8"/>
    <w:rsid w:val="343FE47A"/>
    <w:rsid w:val="3444768A"/>
    <w:rsid w:val="3452E389"/>
    <w:rsid w:val="345B1FF1"/>
    <w:rsid w:val="347B9584"/>
    <w:rsid w:val="3485D7E0"/>
    <w:rsid w:val="34E1C89A"/>
    <w:rsid w:val="354DCE5C"/>
    <w:rsid w:val="35DF6B71"/>
    <w:rsid w:val="35F86C70"/>
    <w:rsid w:val="3649E876"/>
    <w:rsid w:val="366E6578"/>
    <w:rsid w:val="367BCD16"/>
    <w:rsid w:val="36C1A24F"/>
    <w:rsid w:val="36C8B9A0"/>
    <w:rsid w:val="37108492"/>
    <w:rsid w:val="37322138"/>
    <w:rsid w:val="3760E147"/>
    <w:rsid w:val="3764EC12"/>
    <w:rsid w:val="378862D3"/>
    <w:rsid w:val="37A07E37"/>
    <w:rsid w:val="37B45CFD"/>
    <w:rsid w:val="38167ACF"/>
    <w:rsid w:val="384F2010"/>
    <w:rsid w:val="3853706C"/>
    <w:rsid w:val="388EFFCD"/>
    <w:rsid w:val="38D90B50"/>
    <w:rsid w:val="3965C044"/>
    <w:rsid w:val="3970B773"/>
    <w:rsid w:val="399DC102"/>
    <w:rsid w:val="3A2B9C86"/>
    <w:rsid w:val="3A31C6B3"/>
    <w:rsid w:val="3A5EF9C6"/>
    <w:rsid w:val="3AD8F9E2"/>
    <w:rsid w:val="3ADF5F38"/>
    <w:rsid w:val="3AF3A249"/>
    <w:rsid w:val="3AF3AF22"/>
    <w:rsid w:val="3B06B32B"/>
    <w:rsid w:val="3B0E642E"/>
    <w:rsid w:val="3B28F442"/>
    <w:rsid w:val="3B2E9470"/>
    <w:rsid w:val="3B67B058"/>
    <w:rsid w:val="3C4FAEB4"/>
    <w:rsid w:val="3C7A6A32"/>
    <w:rsid w:val="3C7D21FE"/>
    <w:rsid w:val="3C9D308D"/>
    <w:rsid w:val="3D1C9813"/>
    <w:rsid w:val="3D6E5935"/>
    <w:rsid w:val="3D850A84"/>
    <w:rsid w:val="3D92268B"/>
    <w:rsid w:val="3DA000ED"/>
    <w:rsid w:val="3DA4AE1F"/>
    <w:rsid w:val="3DD42D96"/>
    <w:rsid w:val="3E0C9AA7"/>
    <w:rsid w:val="3E392185"/>
    <w:rsid w:val="3E54FA5B"/>
    <w:rsid w:val="3E683DA6"/>
    <w:rsid w:val="3E70FC94"/>
    <w:rsid w:val="3E96A576"/>
    <w:rsid w:val="3F4097FD"/>
    <w:rsid w:val="3FB3C5F6"/>
    <w:rsid w:val="3FB6766F"/>
    <w:rsid w:val="3FC3B70F"/>
    <w:rsid w:val="4009F319"/>
    <w:rsid w:val="403EC4CC"/>
    <w:rsid w:val="40544120"/>
    <w:rsid w:val="406D322D"/>
    <w:rsid w:val="40C31EF2"/>
    <w:rsid w:val="40DCA029"/>
    <w:rsid w:val="40E6DFFC"/>
    <w:rsid w:val="410DD249"/>
    <w:rsid w:val="41196E15"/>
    <w:rsid w:val="4129795C"/>
    <w:rsid w:val="415F8770"/>
    <w:rsid w:val="419D3A7F"/>
    <w:rsid w:val="41E7C9FB"/>
    <w:rsid w:val="42173B41"/>
    <w:rsid w:val="42411195"/>
    <w:rsid w:val="4243775E"/>
    <w:rsid w:val="4256F106"/>
    <w:rsid w:val="42805E10"/>
    <w:rsid w:val="42841828"/>
    <w:rsid w:val="42857A09"/>
    <w:rsid w:val="429198E7"/>
    <w:rsid w:val="42A5FD4A"/>
    <w:rsid w:val="42A97BB1"/>
    <w:rsid w:val="43336352"/>
    <w:rsid w:val="4352CEB2"/>
    <w:rsid w:val="43AB66BB"/>
    <w:rsid w:val="43E32C1F"/>
    <w:rsid w:val="44156543"/>
    <w:rsid w:val="44692CB9"/>
    <w:rsid w:val="44B30108"/>
    <w:rsid w:val="44BA87CC"/>
    <w:rsid w:val="44C43BDF"/>
    <w:rsid w:val="44CD5631"/>
    <w:rsid w:val="44CDAF91"/>
    <w:rsid w:val="4538DAD4"/>
    <w:rsid w:val="456EB668"/>
    <w:rsid w:val="45B71D81"/>
    <w:rsid w:val="45EE9E9B"/>
    <w:rsid w:val="46603AEE"/>
    <w:rsid w:val="46A501EE"/>
    <w:rsid w:val="46AB20C0"/>
    <w:rsid w:val="46AE93D4"/>
    <w:rsid w:val="46D99D01"/>
    <w:rsid w:val="46E46D10"/>
    <w:rsid w:val="46F800E2"/>
    <w:rsid w:val="47328185"/>
    <w:rsid w:val="474D0605"/>
    <w:rsid w:val="47877FB8"/>
    <w:rsid w:val="478A6560"/>
    <w:rsid w:val="47D97CA2"/>
    <w:rsid w:val="47E7E7F0"/>
    <w:rsid w:val="47E7F151"/>
    <w:rsid w:val="47EAA1CA"/>
    <w:rsid w:val="47F92C28"/>
    <w:rsid w:val="484C1FA7"/>
    <w:rsid w:val="48842324"/>
    <w:rsid w:val="48B57EF5"/>
    <w:rsid w:val="48FF2ED1"/>
    <w:rsid w:val="48FF5824"/>
    <w:rsid w:val="49038216"/>
    <w:rsid w:val="4916708B"/>
    <w:rsid w:val="491B65E8"/>
    <w:rsid w:val="496B2EF5"/>
    <w:rsid w:val="4985B670"/>
    <w:rsid w:val="49989554"/>
    <w:rsid w:val="4A1A9449"/>
    <w:rsid w:val="4A376DE1"/>
    <w:rsid w:val="4A84A6C7"/>
    <w:rsid w:val="4B4C1E26"/>
    <w:rsid w:val="4BB664AA"/>
    <w:rsid w:val="4BCECB7E"/>
    <w:rsid w:val="4C074ECB"/>
    <w:rsid w:val="4C1FB508"/>
    <w:rsid w:val="4C4568D7"/>
    <w:rsid w:val="4C46B997"/>
    <w:rsid w:val="4C50D84A"/>
    <w:rsid w:val="4C8D0C66"/>
    <w:rsid w:val="4CAEFB15"/>
    <w:rsid w:val="4CCFEE15"/>
    <w:rsid w:val="4CE0889B"/>
    <w:rsid w:val="4D52350B"/>
    <w:rsid w:val="4DA1C309"/>
    <w:rsid w:val="4DF45EF9"/>
    <w:rsid w:val="4E288774"/>
    <w:rsid w:val="4E307644"/>
    <w:rsid w:val="4E435485"/>
    <w:rsid w:val="4E4D4A7C"/>
    <w:rsid w:val="4E4D818B"/>
    <w:rsid w:val="4E5901FD"/>
    <w:rsid w:val="4E59E34E"/>
    <w:rsid w:val="4E930D4E"/>
    <w:rsid w:val="4E958159"/>
    <w:rsid w:val="4F0A39BE"/>
    <w:rsid w:val="4F450DBC"/>
    <w:rsid w:val="4FB75BF6"/>
    <w:rsid w:val="4FD6CD79"/>
    <w:rsid w:val="4FDDD5FD"/>
    <w:rsid w:val="4FE6CAE5"/>
    <w:rsid w:val="5054F658"/>
    <w:rsid w:val="50BC2E4C"/>
    <w:rsid w:val="50C9C845"/>
    <w:rsid w:val="510D1971"/>
    <w:rsid w:val="51208D9E"/>
    <w:rsid w:val="51532C57"/>
    <w:rsid w:val="515DEA2F"/>
    <w:rsid w:val="51681706"/>
    <w:rsid w:val="51708BCE"/>
    <w:rsid w:val="518A36DB"/>
    <w:rsid w:val="523E0D02"/>
    <w:rsid w:val="5241FE79"/>
    <w:rsid w:val="5253A22D"/>
    <w:rsid w:val="527E17F3"/>
    <w:rsid w:val="52881CFB"/>
    <w:rsid w:val="5306AAD8"/>
    <w:rsid w:val="5315E7E4"/>
    <w:rsid w:val="5360CA33"/>
    <w:rsid w:val="538F8302"/>
    <w:rsid w:val="53A0541F"/>
    <w:rsid w:val="541E7C91"/>
    <w:rsid w:val="5443E721"/>
    <w:rsid w:val="5455CC88"/>
    <w:rsid w:val="55156F1C"/>
    <w:rsid w:val="5526F2F9"/>
    <w:rsid w:val="55342D7A"/>
    <w:rsid w:val="553AA8C9"/>
    <w:rsid w:val="556A7608"/>
    <w:rsid w:val="5589DAB3"/>
    <w:rsid w:val="5592CDAE"/>
    <w:rsid w:val="55C63516"/>
    <w:rsid w:val="5604A29E"/>
    <w:rsid w:val="5621C7B5"/>
    <w:rsid w:val="56D8E5EC"/>
    <w:rsid w:val="56E7972E"/>
    <w:rsid w:val="57486C05"/>
    <w:rsid w:val="57620577"/>
    <w:rsid w:val="578AFAB2"/>
    <w:rsid w:val="57DDFF33"/>
    <w:rsid w:val="57E4ECBE"/>
    <w:rsid w:val="5800C594"/>
    <w:rsid w:val="581ABCA2"/>
    <w:rsid w:val="581E3296"/>
    <w:rsid w:val="585E4B2F"/>
    <w:rsid w:val="58C18236"/>
    <w:rsid w:val="58E5D1D3"/>
    <w:rsid w:val="58E9A0AF"/>
    <w:rsid w:val="58EA974C"/>
    <w:rsid w:val="58EC194C"/>
    <w:rsid w:val="58EC9B01"/>
    <w:rsid w:val="58FDD5D8"/>
    <w:rsid w:val="5920AA4E"/>
    <w:rsid w:val="59416169"/>
    <w:rsid w:val="59486CAC"/>
    <w:rsid w:val="596C05AE"/>
    <w:rsid w:val="59B0B26A"/>
    <w:rsid w:val="59B21EC1"/>
    <w:rsid w:val="59BF65B2"/>
    <w:rsid w:val="59D2287C"/>
    <w:rsid w:val="5A1B4EA1"/>
    <w:rsid w:val="5A2D483B"/>
    <w:rsid w:val="5A3DE72B"/>
    <w:rsid w:val="5A563849"/>
    <w:rsid w:val="5A8255FD"/>
    <w:rsid w:val="5A8811F0"/>
    <w:rsid w:val="5A883397"/>
    <w:rsid w:val="5A8D4FC6"/>
    <w:rsid w:val="5AA384F3"/>
    <w:rsid w:val="5AD420E7"/>
    <w:rsid w:val="5ADD31CA"/>
    <w:rsid w:val="5B08E50A"/>
    <w:rsid w:val="5B20FC27"/>
    <w:rsid w:val="5B46F989"/>
    <w:rsid w:val="5B56A7FB"/>
    <w:rsid w:val="5B6A3726"/>
    <w:rsid w:val="5B87B3B2"/>
    <w:rsid w:val="5BBD45DB"/>
    <w:rsid w:val="5BC92C9D"/>
    <w:rsid w:val="5BDAC294"/>
    <w:rsid w:val="5BE2522A"/>
    <w:rsid w:val="5C0D0465"/>
    <w:rsid w:val="5C218B4A"/>
    <w:rsid w:val="5C243BC3"/>
    <w:rsid w:val="5C2DAF75"/>
    <w:rsid w:val="5C42834C"/>
    <w:rsid w:val="5C7AAE7E"/>
    <w:rsid w:val="5C885E19"/>
    <w:rsid w:val="5CBCCC88"/>
    <w:rsid w:val="5D3CFE2E"/>
    <w:rsid w:val="5D478E8E"/>
    <w:rsid w:val="5D8DD90B"/>
    <w:rsid w:val="5D91227E"/>
    <w:rsid w:val="5DBFD459"/>
    <w:rsid w:val="5DC64A47"/>
    <w:rsid w:val="5DCA257A"/>
    <w:rsid w:val="5DE3D77B"/>
    <w:rsid w:val="5DFBAA2F"/>
    <w:rsid w:val="5E0BC1A9"/>
    <w:rsid w:val="5E14D28C"/>
    <w:rsid w:val="5E7B81D6"/>
    <w:rsid w:val="5EAF99AF"/>
    <w:rsid w:val="5F093E88"/>
    <w:rsid w:val="5F1D3E38"/>
    <w:rsid w:val="5F31C032"/>
    <w:rsid w:val="5F55652C"/>
    <w:rsid w:val="5FA0FAB8"/>
    <w:rsid w:val="5FF881C9"/>
    <w:rsid w:val="601748CE"/>
    <w:rsid w:val="6034D7FE"/>
    <w:rsid w:val="604BCA67"/>
    <w:rsid w:val="604DACF3"/>
    <w:rsid w:val="6072D480"/>
    <w:rsid w:val="608309FE"/>
    <w:rsid w:val="60B0C560"/>
    <w:rsid w:val="60E1CE80"/>
    <w:rsid w:val="612EC2A5"/>
    <w:rsid w:val="61334AF1"/>
    <w:rsid w:val="61862856"/>
    <w:rsid w:val="61974485"/>
    <w:rsid w:val="61A140F5"/>
    <w:rsid w:val="61A7BCE0"/>
    <w:rsid w:val="61ACC28C"/>
    <w:rsid w:val="61B11B8C"/>
    <w:rsid w:val="61C32FA4"/>
    <w:rsid w:val="61C465CF"/>
    <w:rsid w:val="61D1662B"/>
    <w:rsid w:val="61F74517"/>
    <w:rsid w:val="6229B0B9"/>
    <w:rsid w:val="6254C547"/>
    <w:rsid w:val="6294A19F"/>
    <w:rsid w:val="62A4B81E"/>
    <w:rsid w:val="62DAD863"/>
    <w:rsid w:val="62EC337F"/>
    <w:rsid w:val="63290A1D"/>
    <w:rsid w:val="63911317"/>
    <w:rsid w:val="63C27863"/>
    <w:rsid w:val="63CC85D1"/>
    <w:rsid w:val="640EFAF9"/>
    <w:rsid w:val="6440887F"/>
    <w:rsid w:val="64805613"/>
    <w:rsid w:val="64B974A1"/>
    <w:rsid w:val="64BDC918"/>
    <w:rsid w:val="64C36FC6"/>
    <w:rsid w:val="6537C03F"/>
    <w:rsid w:val="654E9435"/>
    <w:rsid w:val="6553B4C0"/>
    <w:rsid w:val="6564BB12"/>
    <w:rsid w:val="656B4741"/>
    <w:rsid w:val="65DF045F"/>
    <w:rsid w:val="6686EA90"/>
    <w:rsid w:val="66A03C59"/>
    <w:rsid w:val="66B07C1D"/>
    <w:rsid w:val="66CEE20B"/>
    <w:rsid w:val="66F37B14"/>
    <w:rsid w:val="6730C26E"/>
    <w:rsid w:val="679ED72A"/>
    <w:rsid w:val="6800D53E"/>
    <w:rsid w:val="68327AE0"/>
    <w:rsid w:val="6840A7AF"/>
    <w:rsid w:val="686D2066"/>
    <w:rsid w:val="68720B42"/>
    <w:rsid w:val="6877BBA4"/>
    <w:rsid w:val="690B6E5F"/>
    <w:rsid w:val="692D21FF"/>
    <w:rsid w:val="696CEE88"/>
    <w:rsid w:val="69793B76"/>
    <w:rsid w:val="69D56729"/>
    <w:rsid w:val="69FB2501"/>
    <w:rsid w:val="6A9E8F2C"/>
    <w:rsid w:val="6AF18B99"/>
    <w:rsid w:val="6B05D7FE"/>
    <w:rsid w:val="6B6D48A8"/>
    <w:rsid w:val="6B784871"/>
    <w:rsid w:val="6BF4937D"/>
    <w:rsid w:val="6BF81E2F"/>
    <w:rsid w:val="6C4BF473"/>
    <w:rsid w:val="6C4C0447"/>
    <w:rsid w:val="6C59A6F8"/>
    <w:rsid w:val="6C674A70"/>
    <w:rsid w:val="6CE2C70A"/>
    <w:rsid w:val="6D5D30C9"/>
    <w:rsid w:val="6D93993D"/>
    <w:rsid w:val="6DB69038"/>
    <w:rsid w:val="6E2C05AF"/>
    <w:rsid w:val="6E369852"/>
    <w:rsid w:val="6E70366E"/>
    <w:rsid w:val="6E902C96"/>
    <w:rsid w:val="6EA1EC60"/>
    <w:rsid w:val="6EF9012A"/>
    <w:rsid w:val="6EFAD7E3"/>
    <w:rsid w:val="6F179127"/>
    <w:rsid w:val="6F526099"/>
    <w:rsid w:val="7039E2EB"/>
    <w:rsid w:val="708F1E84"/>
    <w:rsid w:val="70B211A2"/>
    <w:rsid w:val="70B3232D"/>
    <w:rsid w:val="70D32FBF"/>
    <w:rsid w:val="70ED6032"/>
    <w:rsid w:val="70EE30FA"/>
    <w:rsid w:val="710D6131"/>
    <w:rsid w:val="7116A564"/>
    <w:rsid w:val="7118AC36"/>
    <w:rsid w:val="711D0871"/>
    <w:rsid w:val="7144CC7F"/>
    <w:rsid w:val="7164CBB5"/>
    <w:rsid w:val="71845098"/>
    <w:rsid w:val="718D36BA"/>
    <w:rsid w:val="71A9E054"/>
    <w:rsid w:val="71BC8EEA"/>
    <w:rsid w:val="71D740A5"/>
    <w:rsid w:val="71DC0FCF"/>
    <w:rsid w:val="71E0141F"/>
    <w:rsid w:val="71FFC52B"/>
    <w:rsid w:val="7224F636"/>
    <w:rsid w:val="726C7748"/>
    <w:rsid w:val="7298663A"/>
    <w:rsid w:val="729CA8AB"/>
    <w:rsid w:val="72ED6910"/>
    <w:rsid w:val="73814155"/>
    <w:rsid w:val="739D6404"/>
    <w:rsid w:val="73B686E3"/>
    <w:rsid w:val="73D8ADED"/>
    <w:rsid w:val="73F24FD2"/>
    <w:rsid w:val="740E579A"/>
    <w:rsid w:val="74446A7B"/>
    <w:rsid w:val="74616E39"/>
    <w:rsid w:val="747E2A5B"/>
    <w:rsid w:val="74854F09"/>
    <w:rsid w:val="74870A7F"/>
    <w:rsid w:val="74E3FEB8"/>
    <w:rsid w:val="74FA49AA"/>
    <w:rsid w:val="755DA4F5"/>
    <w:rsid w:val="75D6C8EE"/>
    <w:rsid w:val="75E8753C"/>
    <w:rsid w:val="7615BD21"/>
    <w:rsid w:val="76315792"/>
    <w:rsid w:val="76D6BED4"/>
    <w:rsid w:val="77F4A071"/>
    <w:rsid w:val="78462C71"/>
    <w:rsid w:val="7861EC9D"/>
    <w:rsid w:val="78EBCEE8"/>
    <w:rsid w:val="78F48E8A"/>
    <w:rsid w:val="794CBDF7"/>
    <w:rsid w:val="799E3B10"/>
    <w:rsid w:val="799F1163"/>
    <w:rsid w:val="7A050841"/>
    <w:rsid w:val="7A1DE05F"/>
    <w:rsid w:val="7AD104DF"/>
    <w:rsid w:val="7AD32D50"/>
    <w:rsid w:val="7B4B414E"/>
    <w:rsid w:val="7B6FEFB1"/>
    <w:rsid w:val="7BC7CE02"/>
    <w:rsid w:val="7C21A108"/>
    <w:rsid w:val="7C3C4E2E"/>
    <w:rsid w:val="7C4008F6"/>
    <w:rsid w:val="7C6CD540"/>
    <w:rsid w:val="7C840F10"/>
    <w:rsid w:val="7D3F0443"/>
    <w:rsid w:val="7DC105EB"/>
    <w:rsid w:val="7E1817B2"/>
    <w:rsid w:val="7E38093D"/>
    <w:rsid w:val="7E52ED2B"/>
    <w:rsid w:val="7EC812A6"/>
    <w:rsid w:val="7ECFADE7"/>
    <w:rsid w:val="7EEF8742"/>
    <w:rsid w:val="7F069D5E"/>
    <w:rsid w:val="7F2265E1"/>
    <w:rsid w:val="7F2E214E"/>
    <w:rsid w:val="7F762815"/>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5F69BC1"/>
  <w15:docId w15:val="{D23CDADE-D774-48FA-B9C0-67C1E8A8E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qFormat="1"/>
    <w:lsdException w:name="toc 4" w:uiPriority="39"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unhideWhenUsed="1" w:qFormat="1"/>
    <w:lsdException w:name="annotation text" w:uiPriority="0" w:qFormat="1"/>
    <w:lsdException w:name="header" w:uiPriority="0"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lsdException w:name="Emphasis" w:uiPriority="20"/>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Calibri" w:eastAsia="Times New Roman" w:hAnsi="Calibri" w:cs="Times New Roman"/>
      <w:sz w:val="22"/>
      <w:szCs w:val="24"/>
      <w:lang w:val="en-GB" w:eastAsia="en-US"/>
    </w:rPr>
  </w:style>
  <w:style w:type="paragraph" w:styleId="Heading1">
    <w:name w:val="heading 1"/>
    <w:basedOn w:val="Normal"/>
    <w:next w:val="Normal"/>
    <w:link w:val="Heading1Char"/>
    <w:qFormat/>
    <w:pPr>
      <w:keepNext/>
      <w:pageBreakBefore/>
      <w:pBdr>
        <w:top w:val="single" w:sz="18" w:space="1" w:color="002060"/>
        <w:left w:val="single" w:sz="18" w:space="4" w:color="002060"/>
        <w:bottom w:val="single" w:sz="18" w:space="1" w:color="002060"/>
        <w:right w:val="single" w:sz="18" w:space="4" w:color="002060"/>
      </w:pBdr>
      <w:shd w:val="clear" w:color="auto" w:fill="002060"/>
      <w:spacing w:before="240" w:after="480" w:line="240" w:lineRule="auto"/>
      <w:outlineLvl w:val="0"/>
    </w:pPr>
    <w:rPr>
      <w:rFonts w:cs="Arial"/>
      <w:b/>
      <w:bCs/>
      <w:caps/>
      <w:kern w:val="32"/>
      <w:sz w:val="28"/>
      <w:szCs w:val="32"/>
    </w:rPr>
  </w:style>
  <w:style w:type="paragraph" w:styleId="Heading2">
    <w:name w:val="heading 2"/>
    <w:basedOn w:val="Normal"/>
    <w:next w:val="Normal"/>
    <w:link w:val="Heading2Char"/>
    <w:uiPriority w:val="9"/>
    <w:qFormat/>
    <w:pPr>
      <w:keepNext/>
      <w:numPr>
        <w:ilvl w:val="1"/>
        <w:numId w:val="1"/>
      </w:numPr>
      <w:pBdr>
        <w:top w:val="single" w:sz="12" w:space="1" w:color="002060"/>
        <w:bottom w:val="single" w:sz="12" w:space="1" w:color="002060"/>
      </w:pBdr>
      <w:spacing w:before="120" w:after="120"/>
      <w:ind w:right="45"/>
      <w:outlineLvl w:val="1"/>
    </w:pPr>
    <w:rPr>
      <w:rFonts w:asciiTheme="minorHAnsi" w:hAnsiTheme="minorHAnsi" w:cs="Arial"/>
      <w:b/>
      <w:bCs/>
      <w:iCs/>
      <w:caps/>
      <w:color w:val="002060"/>
      <w:szCs w:val="28"/>
      <w:lang w:val="en-ZA"/>
    </w:rPr>
  </w:style>
  <w:style w:type="paragraph" w:styleId="Heading3">
    <w:name w:val="heading 3"/>
    <w:basedOn w:val="Normal"/>
    <w:next w:val="Normal"/>
    <w:link w:val="Heading3Char"/>
    <w:qFormat/>
    <w:pPr>
      <w:keepNext/>
      <w:numPr>
        <w:ilvl w:val="2"/>
        <w:numId w:val="1"/>
      </w:numPr>
      <w:pBdr>
        <w:top w:val="dotted" w:sz="8" w:space="1" w:color="002060"/>
        <w:left w:val="dotted" w:sz="8" w:space="4" w:color="002060"/>
      </w:pBdr>
      <w:spacing w:before="240" w:after="240" w:line="240" w:lineRule="auto"/>
      <w:outlineLvl w:val="2"/>
    </w:pPr>
    <w:rPr>
      <w:rFonts w:cs="Arial"/>
      <w:b/>
      <w:bCs/>
      <w:szCs w:val="26"/>
    </w:rPr>
  </w:style>
  <w:style w:type="paragraph" w:styleId="Heading4">
    <w:name w:val="heading 4"/>
    <w:basedOn w:val="Normal"/>
    <w:next w:val="Normal"/>
    <w:link w:val="Heading4Char"/>
    <w:qFormat/>
    <w:pPr>
      <w:keepNext/>
      <w:numPr>
        <w:ilvl w:val="3"/>
        <w:numId w:val="1"/>
      </w:numPr>
      <w:spacing w:before="240" w:after="240" w:line="240" w:lineRule="auto"/>
      <w:outlineLvl w:val="3"/>
    </w:pPr>
    <w:rPr>
      <w:b/>
      <w:bCs/>
      <w:color w:val="002060"/>
      <w:szCs w:val="28"/>
      <w:lang w:val="en-ZA"/>
    </w:rPr>
  </w:style>
  <w:style w:type="paragraph" w:styleId="Heading5">
    <w:name w:val="heading 5"/>
    <w:basedOn w:val="Normal"/>
    <w:next w:val="Normal"/>
    <w:link w:val="Heading5Char"/>
    <w:qFormat/>
    <w:pPr>
      <w:numPr>
        <w:ilvl w:val="4"/>
        <w:numId w:val="1"/>
      </w:numPr>
      <w:spacing w:before="240" w:after="60"/>
      <w:outlineLvl w:val="4"/>
    </w:pPr>
    <w:rPr>
      <w:b/>
      <w:bCs/>
      <w:i/>
      <w:iCs/>
      <w:color w:val="002060"/>
      <w:szCs w:val="26"/>
    </w:rPr>
  </w:style>
  <w:style w:type="paragraph" w:styleId="Heading6">
    <w:name w:val="heading 6"/>
    <w:basedOn w:val="Normal"/>
    <w:next w:val="Normal"/>
    <w:link w:val="Heading6Char"/>
    <w:qFormat/>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iCs/>
    </w:rPr>
  </w:style>
  <w:style w:type="paragraph" w:styleId="Heading9">
    <w:name w:val="heading 9"/>
    <w:basedOn w:val="Normal"/>
    <w:next w:val="Normal"/>
    <w:link w:val="Heading9Char"/>
    <w:uiPriority w:val="99"/>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line="240" w:lineRule="auto"/>
    </w:pPr>
    <w:rPr>
      <w:rFonts w:ascii="Tahoma" w:hAnsi="Tahoma" w:cs="Tahoma"/>
      <w:sz w:val="16"/>
      <w:szCs w:val="16"/>
    </w:rPr>
  </w:style>
  <w:style w:type="paragraph" w:styleId="BodyText">
    <w:name w:val="Body Text"/>
    <w:basedOn w:val="Normal"/>
    <w:link w:val="BodyTextChar"/>
    <w:qFormat/>
    <w:pPr>
      <w:spacing w:after="120" w:line="240" w:lineRule="auto"/>
      <w:jc w:val="left"/>
    </w:pPr>
    <w:rPr>
      <w:rFonts w:ascii="Times New Roman" w:hAnsi="Times New Roman"/>
      <w:sz w:val="24"/>
    </w:rPr>
  </w:style>
  <w:style w:type="paragraph" w:styleId="BodyText2">
    <w:name w:val="Body Text 2"/>
    <w:basedOn w:val="Normal"/>
    <w:link w:val="BodyText2Char"/>
    <w:qFormat/>
    <w:pPr>
      <w:spacing w:line="240" w:lineRule="auto"/>
    </w:pPr>
    <w:rPr>
      <w:rFonts w:ascii="Arial" w:hAnsi="Arial" w:cs="Arial"/>
      <w:b/>
      <w:bCs/>
      <w:u w:val="single"/>
    </w:rPr>
  </w:style>
  <w:style w:type="paragraph" w:styleId="BodyText3">
    <w:name w:val="Body Text 3"/>
    <w:basedOn w:val="Normal"/>
    <w:link w:val="BodyText3Char"/>
    <w:qFormat/>
    <w:pPr>
      <w:spacing w:line="240" w:lineRule="auto"/>
    </w:pPr>
    <w:rPr>
      <w:rFonts w:ascii="Arial" w:hAnsi="Arial" w:cs="Arial"/>
      <w:lang w:val="en-US"/>
    </w:rPr>
  </w:style>
  <w:style w:type="paragraph" w:styleId="Caption">
    <w:name w:val="caption"/>
    <w:basedOn w:val="Normal"/>
    <w:next w:val="Normal"/>
    <w:link w:val="CaptionChar"/>
    <w:uiPriority w:val="35"/>
    <w:unhideWhenUsed/>
    <w:qFormat/>
    <w:pPr>
      <w:spacing w:after="200" w:line="240" w:lineRule="auto"/>
    </w:pPr>
    <w:rPr>
      <w:i/>
      <w:iCs/>
      <w:color w:val="1F497D" w:themeColor="text2"/>
      <w:sz w:val="18"/>
      <w:szCs w:val="18"/>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jc w:val="left"/>
    </w:pPr>
    <w:rPr>
      <w:rFonts w:ascii="Times New Roman" w:hAnsi="Times New Roman"/>
      <w:sz w:val="20"/>
      <w:szCs w:val="20"/>
      <w:lang w:eastAsia="en-GB"/>
    </w:rPr>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pacing w:line="240" w:lineRule="auto"/>
      <w:jc w:val="left"/>
    </w:pPr>
    <w:rPr>
      <w:rFonts w:ascii="Tahoma" w:hAnsi="Tahoma" w:cs="Tahoma"/>
      <w:sz w:val="16"/>
      <w:szCs w:val="16"/>
      <w:lang w:eastAsia="en-GB"/>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qFormat/>
    <w:pPr>
      <w:tabs>
        <w:tab w:val="center" w:pos="4320"/>
        <w:tab w:val="right" w:pos="8640"/>
      </w:tabs>
    </w:pPr>
  </w:style>
  <w:style w:type="character" w:styleId="FootnoteReference">
    <w:name w:val="footnote reference"/>
    <w:basedOn w:val="DefaultParagraphFont"/>
    <w:unhideWhenUsed/>
    <w:qFormat/>
    <w:rPr>
      <w:vertAlign w:val="superscript"/>
    </w:rPr>
  </w:style>
  <w:style w:type="paragraph" w:styleId="FootnoteText">
    <w:name w:val="footnote text"/>
    <w:basedOn w:val="Normal"/>
    <w:link w:val="FootnoteTextChar"/>
    <w:unhideWhenUsed/>
    <w:qFormat/>
    <w:pPr>
      <w:spacing w:line="240" w:lineRule="auto"/>
    </w:pPr>
    <w:rPr>
      <w:sz w:val="20"/>
      <w:szCs w:val="20"/>
    </w:rPr>
  </w:style>
  <w:style w:type="paragraph" w:styleId="Header">
    <w:name w:val="header"/>
    <w:basedOn w:val="Normal"/>
    <w:link w:val="HeaderChar"/>
    <w:qFormat/>
    <w:pPr>
      <w:tabs>
        <w:tab w:val="center" w:pos="4320"/>
        <w:tab w:val="right" w:pos="8640"/>
      </w:tabs>
    </w:pPr>
  </w:style>
  <w:style w:type="character" w:styleId="Hyperlink">
    <w:name w:val="Hyperlink"/>
    <w:uiPriority w:val="99"/>
    <w:qFormat/>
    <w:rPr>
      <w:color w:val="0000FF"/>
      <w:u w:val="single"/>
    </w:rPr>
  </w:style>
  <w:style w:type="character" w:styleId="LineNumber">
    <w:name w:val="line number"/>
    <w:basedOn w:val="DefaultParagraphFont"/>
    <w:qFormat/>
  </w:style>
  <w:style w:type="paragraph" w:styleId="ListBullet">
    <w:name w:val="List Bullet"/>
    <w:basedOn w:val="Normal"/>
    <w:uiPriority w:val="36"/>
    <w:unhideWhenUsed/>
    <w:qFormat/>
    <w:pPr>
      <w:spacing w:after="60" w:line="320" w:lineRule="atLeast"/>
    </w:pPr>
    <w:rPr>
      <w:rFonts w:eastAsia="Tw Cen MT"/>
      <w:szCs w:val="20"/>
      <w:lang w:val="en-ZA" w:eastAsia="ja-JP"/>
    </w:rPr>
  </w:style>
  <w:style w:type="paragraph" w:styleId="ListBullet2">
    <w:name w:val="List Bullet 2"/>
    <w:basedOn w:val="Normal"/>
    <w:qFormat/>
    <w:pPr>
      <w:numPr>
        <w:numId w:val="2"/>
      </w:numPr>
      <w:contextualSpacing/>
    </w:pPr>
  </w:style>
  <w:style w:type="paragraph" w:styleId="ListBullet3">
    <w:name w:val="List Bullet 3"/>
    <w:basedOn w:val="Normal"/>
    <w:qFormat/>
    <w:pPr>
      <w:numPr>
        <w:numId w:val="3"/>
      </w:numPr>
      <w:contextualSpacing/>
    </w:pPr>
  </w:style>
  <w:style w:type="paragraph" w:styleId="NormalWeb">
    <w:name w:val="Normal (Web)"/>
    <w:basedOn w:val="Normal"/>
    <w:uiPriority w:val="99"/>
    <w:unhideWhenUsed/>
    <w:qFormat/>
    <w:pPr>
      <w:spacing w:before="100" w:beforeAutospacing="1" w:after="100" w:afterAutospacing="1" w:line="240" w:lineRule="auto"/>
      <w:jc w:val="left"/>
    </w:pPr>
    <w:rPr>
      <w:rFonts w:ascii="Times New Roman" w:eastAsiaTheme="minorEastAsia" w:hAnsi="Times New Roman"/>
      <w:sz w:val="24"/>
      <w:lang w:val="en-ZA" w:eastAsia="en-ZA"/>
    </w:rPr>
  </w:style>
  <w:style w:type="character" w:styleId="PageNumber">
    <w:name w:val="page number"/>
    <w:basedOn w:val="DefaultParagraphFont"/>
    <w:qFormat/>
  </w:style>
  <w:style w:type="paragraph" w:styleId="PlainText">
    <w:name w:val="Plain Text"/>
    <w:basedOn w:val="Normal"/>
    <w:link w:val="PlainTextChar"/>
    <w:qFormat/>
    <w:pPr>
      <w:spacing w:line="240" w:lineRule="auto"/>
      <w:jc w:val="left"/>
    </w:pPr>
    <w:rPr>
      <w:rFonts w:ascii="Courier New" w:hAnsi="Courier New"/>
      <w:sz w:val="20"/>
      <w:szCs w:val="20"/>
      <w:lang w:eastAsia="en-GB"/>
    </w:rPr>
  </w:style>
  <w:style w:type="table" w:styleId="TableGrid">
    <w:name w:val="Table Grid"/>
    <w:basedOn w:val="Table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line="240" w:lineRule="auto"/>
      <w:jc w:val="center"/>
    </w:pPr>
    <w:rPr>
      <w:rFonts w:ascii="Arial" w:hAnsi="Arial" w:cs="Arial"/>
      <w:b/>
      <w:bCs/>
      <w:sz w:val="28"/>
      <w:u w:val="single"/>
    </w:rPr>
  </w:style>
  <w:style w:type="paragraph" w:styleId="TOC1">
    <w:name w:val="toc 1"/>
    <w:basedOn w:val="Normal"/>
    <w:next w:val="Normal"/>
    <w:uiPriority w:val="39"/>
    <w:unhideWhenUsed/>
    <w:qFormat/>
    <w:pPr>
      <w:tabs>
        <w:tab w:val="left" w:pos="567"/>
        <w:tab w:val="right" w:leader="dot" w:pos="9214"/>
      </w:tabs>
      <w:spacing w:after="100"/>
      <w:ind w:left="851" w:hanging="851"/>
    </w:pPr>
    <w:rPr>
      <w:b/>
      <w:caps/>
      <w:color w:val="002060"/>
      <w:sz w:val="24"/>
    </w:rPr>
  </w:style>
  <w:style w:type="paragraph" w:styleId="TOC2">
    <w:name w:val="toc 2"/>
    <w:basedOn w:val="Normal"/>
    <w:next w:val="Normal"/>
    <w:uiPriority w:val="39"/>
    <w:unhideWhenUsed/>
    <w:qFormat/>
    <w:pPr>
      <w:tabs>
        <w:tab w:val="left" w:pos="880"/>
        <w:tab w:val="right" w:leader="dot" w:pos="9214"/>
      </w:tabs>
      <w:spacing w:after="100"/>
      <w:ind w:left="567" w:hanging="567"/>
    </w:pPr>
  </w:style>
  <w:style w:type="paragraph" w:styleId="TOC3">
    <w:name w:val="toc 3"/>
    <w:basedOn w:val="Normal"/>
    <w:next w:val="Normal"/>
    <w:uiPriority w:val="39"/>
    <w:qFormat/>
    <w:pPr>
      <w:tabs>
        <w:tab w:val="left" w:pos="1320"/>
        <w:tab w:val="right" w:leader="dot" w:pos="9214"/>
      </w:tabs>
      <w:spacing w:after="100"/>
      <w:ind w:left="624" w:hanging="624"/>
    </w:pPr>
    <w:rPr>
      <w:b/>
      <w:color w:val="002060"/>
    </w:rPr>
  </w:style>
  <w:style w:type="paragraph" w:styleId="TOC4">
    <w:name w:val="toc 4"/>
    <w:basedOn w:val="Normal"/>
    <w:next w:val="Normal"/>
    <w:uiPriority w:val="39"/>
    <w:qFormat/>
    <w:pPr>
      <w:spacing w:after="100"/>
      <w:ind w:left="660"/>
    </w:pPr>
  </w:style>
  <w:style w:type="paragraph" w:styleId="TOC5">
    <w:name w:val="toc 5"/>
    <w:basedOn w:val="Normal"/>
    <w:next w:val="Normal"/>
    <w:uiPriority w:val="39"/>
    <w:qFormat/>
    <w:pPr>
      <w:spacing w:after="100"/>
      <w:ind w:left="880"/>
    </w:pPr>
    <w:rPr>
      <w:i/>
    </w:rPr>
  </w:style>
  <w:style w:type="paragraph" w:styleId="TOC6">
    <w:name w:val="toc 6"/>
    <w:basedOn w:val="Normal"/>
    <w:next w:val="Normal"/>
    <w:uiPriority w:val="39"/>
    <w:unhideWhenUsed/>
    <w:qFormat/>
    <w:pPr>
      <w:ind w:left="1100"/>
      <w:jc w:val="left"/>
    </w:pPr>
    <w:rPr>
      <w:rFonts w:asciiTheme="minorHAnsi" w:hAnsiTheme="minorHAnsi"/>
      <w:sz w:val="18"/>
      <w:szCs w:val="18"/>
    </w:rPr>
  </w:style>
  <w:style w:type="paragraph" w:styleId="TOC7">
    <w:name w:val="toc 7"/>
    <w:basedOn w:val="Normal"/>
    <w:next w:val="Normal"/>
    <w:uiPriority w:val="39"/>
    <w:unhideWhenUsed/>
    <w:qFormat/>
    <w:pPr>
      <w:ind w:left="1320"/>
      <w:jc w:val="left"/>
    </w:pPr>
    <w:rPr>
      <w:rFonts w:asciiTheme="minorHAnsi" w:hAnsiTheme="minorHAnsi"/>
      <w:sz w:val="18"/>
      <w:szCs w:val="18"/>
    </w:rPr>
  </w:style>
  <w:style w:type="paragraph" w:styleId="TOC8">
    <w:name w:val="toc 8"/>
    <w:basedOn w:val="Normal"/>
    <w:next w:val="Normal"/>
    <w:uiPriority w:val="39"/>
    <w:unhideWhenUsed/>
    <w:qFormat/>
    <w:pPr>
      <w:ind w:left="1540"/>
      <w:jc w:val="left"/>
    </w:pPr>
    <w:rPr>
      <w:rFonts w:asciiTheme="minorHAnsi" w:hAnsiTheme="minorHAnsi"/>
      <w:sz w:val="18"/>
      <w:szCs w:val="18"/>
    </w:rPr>
  </w:style>
  <w:style w:type="paragraph" w:styleId="TOC9">
    <w:name w:val="toc 9"/>
    <w:basedOn w:val="Normal"/>
    <w:next w:val="Normal"/>
    <w:uiPriority w:val="39"/>
    <w:unhideWhenUsed/>
    <w:qFormat/>
    <w:pPr>
      <w:ind w:left="1760"/>
      <w:jc w:val="left"/>
    </w:pPr>
    <w:rPr>
      <w:rFonts w:asciiTheme="minorHAnsi" w:hAnsiTheme="minorHAnsi"/>
      <w:sz w:val="18"/>
      <w:szCs w:val="18"/>
    </w:rPr>
  </w:style>
  <w:style w:type="character" w:customStyle="1" w:styleId="Heading2Char">
    <w:name w:val="Heading 2 Char"/>
    <w:basedOn w:val="DefaultParagraphFont"/>
    <w:link w:val="Heading2"/>
    <w:uiPriority w:val="9"/>
    <w:qFormat/>
    <w:rPr>
      <w:rFonts w:eastAsia="Times New Roman" w:cs="Arial"/>
      <w:b/>
      <w:bCs/>
      <w:iCs/>
      <w:caps/>
      <w:color w:val="002060"/>
      <w:szCs w:val="28"/>
    </w:rPr>
  </w:style>
  <w:style w:type="character" w:customStyle="1" w:styleId="Heading1Char">
    <w:name w:val="Heading 1 Char"/>
    <w:basedOn w:val="DefaultParagraphFont"/>
    <w:link w:val="Heading1"/>
    <w:qFormat/>
    <w:rPr>
      <w:rFonts w:ascii="Calibri" w:eastAsia="Times New Roman" w:hAnsi="Calibri" w:cs="Arial"/>
      <w:b/>
      <w:bCs/>
      <w:caps/>
      <w:kern w:val="32"/>
      <w:sz w:val="28"/>
      <w:szCs w:val="32"/>
      <w:shd w:val="clear" w:color="auto" w:fill="002060"/>
      <w:lang w:val="en-GB"/>
    </w:rPr>
  </w:style>
  <w:style w:type="character" w:customStyle="1" w:styleId="Heading3Char">
    <w:name w:val="Heading 3 Char"/>
    <w:basedOn w:val="DefaultParagraphFont"/>
    <w:link w:val="Heading3"/>
    <w:uiPriority w:val="9"/>
    <w:qFormat/>
    <w:rPr>
      <w:rFonts w:ascii="Calibri" w:eastAsia="Times New Roman" w:hAnsi="Calibri" w:cs="Arial"/>
      <w:b/>
      <w:bCs/>
      <w:szCs w:val="26"/>
      <w:lang w:val="en-GB"/>
    </w:rPr>
  </w:style>
  <w:style w:type="character" w:customStyle="1" w:styleId="Heading4Char">
    <w:name w:val="Heading 4 Char"/>
    <w:basedOn w:val="DefaultParagraphFont"/>
    <w:link w:val="Heading4"/>
    <w:qFormat/>
    <w:rPr>
      <w:rFonts w:ascii="Calibri" w:eastAsia="Times New Roman" w:hAnsi="Calibri" w:cs="Times New Roman"/>
      <w:b/>
      <w:bCs/>
      <w:color w:val="002060"/>
      <w:szCs w:val="28"/>
    </w:rPr>
  </w:style>
  <w:style w:type="character" w:customStyle="1" w:styleId="Heading5Char">
    <w:name w:val="Heading 5 Char"/>
    <w:basedOn w:val="DefaultParagraphFont"/>
    <w:link w:val="Heading5"/>
    <w:qFormat/>
    <w:rPr>
      <w:rFonts w:ascii="Calibri" w:eastAsia="Times New Roman" w:hAnsi="Calibri" w:cs="Times New Roman"/>
      <w:b/>
      <w:bCs/>
      <w:i/>
      <w:iCs/>
      <w:color w:val="002060"/>
      <w:szCs w:val="26"/>
      <w:lang w:val="en-GB"/>
    </w:rPr>
  </w:style>
  <w:style w:type="character" w:customStyle="1" w:styleId="Heading6Char">
    <w:name w:val="Heading 6 Char"/>
    <w:basedOn w:val="DefaultParagraphFont"/>
    <w:link w:val="Heading6"/>
    <w:qFormat/>
    <w:rPr>
      <w:rFonts w:ascii="Calibri" w:eastAsia="Times New Roman" w:hAnsi="Calibri" w:cs="Times New Roman"/>
      <w:b/>
      <w:bCs/>
      <w:lang w:val="en-GB"/>
    </w:rPr>
  </w:style>
  <w:style w:type="character" w:customStyle="1" w:styleId="Heading7Char">
    <w:name w:val="Heading 7 Char"/>
    <w:basedOn w:val="DefaultParagraphFont"/>
    <w:link w:val="Heading7"/>
    <w:uiPriority w:val="99"/>
    <w:qFormat/>
    <w:rPr>
      <w:rFonts w:ascii="Calibri" w:eastAsia="Times New Roman" w:hAnsi="Calibri" w:cs="Times New Roman"/>
      <w:szCs w:val="24"/>
      <w:lang w:val="en-GB"/>
    </w:rPr>
  </w:style>
  <w:style w:type="character" w:customStyle="1" w:styleId="Heading8Char">
    <w:name w:val="Heading 8 Char"/>
    <w:basedOn w:val="DefaultParagraphFont"/>
    <w:link w:val="Heading8"/>
    <w:uiPriority w:val="99"/>
    <w:qFormat/>
    <w:rPr>
      <w:rFonts w:ascii="Calibri" w:eastAsia="Times New Roman" w:hAnsi="Calibri" w:cs="Times New Roman"/>
      <w:i/>
      <w:iCs/>
      <w:szCs w:val="24"/>
      <w:lang w:val="en-GB"/>
    </w:rPr>
  </w:style>
  <w:style w:type="character" w:customStyle="1" w:styleId="Heading9Char">
    <w:name w:val="Heading 9 Char"/>
    <w:basedOn w:val="DefaultParagraphFont"/>
    <w:link w:val="Heading9"/>
    <w:uiPriority w:val="99"/>
    <w:qFormat/>
    <w:rPr>
      <w:rFonts w:ascii="Arial" w:eastAsia="Times New Roman" w:hAnsi="Arial" w:cs="Arial"/>
      <w:lang w:val="en-GB"/>
    </w:rPr>
  </w:style>
  <w:style w:type="character" w:customStyle="1" w:styleId="HeaderChar">
    <w:name w:val="Header Char"/>
    <w:basedOn w:val="DefaultParagraphFont"/>
    <w:link w:val="Header"/>
    <w:qFormat/>
    <w:rPr>
      <w:rFonts w:ascii="Calibri" w:eastAsia="Times New Roman" w:hAnsi="Calibri" w:cs="Times New Roman"/>
      <w:szCs w:val="24"/>
      <w:lang w:val="en-GB"/>
    </w:rPr>
  </w:style>
  <w:style w:type="character" w:customStyle="1" w:styleId="FooterChar">
    <w:name w:val="Footer Char"/>
    <w:basedOn w:val="DefaultParagraphFont"/>
    <w:link w:val="Footer"/>
    <w:uiPriority w:val="99"/>
    <w:qFormat/>
    <w:rPr>
      <w:rFonts w:ascii="Calibri" w:eastAsia="Times New Roman" w:hAnsi="Calibri" w:cs="Times New Roman"/>
      <w:szCs w:val="24"/>
      <w:lang w:val="en-GB"/>
    </w:rPr>
  </w:style>
  <w:style w:type="paragraph" w:styleId="NoSpacing">
    <w:name w:val="No Spacing"/>
    <w:basedOn w:val="Normal"/>
    <w:link w:val="NoSpacingChar"/>
    <w:uiPriority w:val="1"/>
    <w:qFormat/>
    <w:pPr>
      <w:spacing w:before="360"/>
    </w:pPr>
    <w:rPr>
      <w:rFonts w:eastAsia="Tw Cen MT"/>
      <w:sz w:val="40"/>
      <w:szCs w:val="20"/>
      <w:lang w:val="en-ZA" w:eastAsia="ja-JP"/>
    </w:rPr>
  </w:style>
  <w:style w:type="character" w:customStyle="1" w:styleId="NoSpacingChar">
    <w:name w:val="No Spacing Char"/>
    <w:link w:val="NoSpacing"/>
    <w:uiPriority w:val="1"/>
    <w:qFormat/>
    <w:rPr>
      <w:rFonts w:ascii="Calibri" w:eastAsia="Tw Cen MT" w:hAnsi="Calibri" w:cs="Times New Roman"/>
      <w:sz w:val="40"/>
      <w:szCs w:val="20"/>
      <w:lang w:eastAsia="ja-JP"/>
    </w:rPr>
  </w:style>
  <w:style w:type="paragraph" w:customStyle="1" w:styleId="TableBody">
    <w:name w:val="Table Body"/>
    <w:link w:val="TableBodyChar"/>
    <w:qFormat/>
    <w:pPr>
      <w:spacing w:before="120"/>
      <w:ind w:left="57" w:right="57"/>
    </w:pPr>
    <w:rPr>
      <w:rFonts w:ascii="Calibri" w:eastAsia="Tw Cen MT" w:hAnsi="Calibri" w:cs="Times New Roman"/>
      <w:lang w:eastAsia="ja-JP"/>
    </w:rPr>
  </w:style>
  <w:style w:type="character" w:customStyle="1" w:styleId="TableBodyChar">
    <w:name w:val="Table Body Char"/>
    <w:link w:val="TableBody"/>
    <w:qFormat/>
    <w:rPr>
      <w:rFonts w:ascii="Calibri" w:eastAsia="Tw Cen MT" w:hAnsi="Calibri" w:cs="Times New Roman"/>
      <w:sz w:val="20"/>
      <w:szCs w:val="20"/>
      <w:lang w:eastAsia="ja-JP"/>
    </w:rPr>
  </w:style>
  <w:style w:type="table" w:customStyle="1" w:styleId="BSWordTable">
    <w:name w:val="BS Word Table"/>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BED3E4"/>
      </w:tcPr>
    </w:tblStylePr>
  </w:style>
  <w:style w:type="paragraph" w:customStyle="1" w:styleId="TableHeading">
    <w:name w:val="Table Heading"/>
    <w:basedOn w:val="Normal"/>
    <w:link w:val="TableHeadingChar"/>
    <w:qFormat/>
    <w:pPr>
      <w:spacing w:before="120" w:after="120" w:line="240" w:lineRule="auto"/>
      <w:ind w:left="113" w:right="113"/>
      <w:jc w:val="right"/>
    </w:pPr>
    <w:rPr>
      <w:rFonts w:eastAsia="Tw Cen MT"/>
      <w:b/>
      <w:sz w:val="20"/>
      <w:szCs w:val="20"/>
      <w:lang w:val="en-ZA" w:eastAsia="ja-JP"/>
    </w:rPr>
  </w:style>
  <w:style w:type="character" w:customStyle="1" w:styleId="TableHeadingChar">
    <w:name w:val="Table Heading Char"/>
    <w:link w:val="TableHeading"/>
    <w:qFormat/>
    <w:rPr>
      <w:rFonts w:ascii="Calibri" w:eastAsia="Tw Cen MT" w:hAnsi="Calibri" w:cs="Times New Roman"/>
      <w:b/>
      <w:sz w:val="20"/>
      <w:szCs w:val="20"/>
      <w:lang w:eastAsia="ja-JP"/>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rFonts w:ascii="Calibri" w:eastAsia="Times New Roman" w:hAnsi="Calibri" w:cs="Times New Roman"/>
      <w:i/>
      <w:iCs/>
      <w:color w:val="000000" w:themeColor="text1"/>
      <w:szCs w:val="24"/>
      <w:lang w:val="en-GB"/>
    </w:rPr>
  </w:style>
  <w:style w:type="character" w:customStyle="1" w:styleId="BalloonTextChar">
    <w:name w:val="Balloon Text Char"/>
    <w:basedOn w:val="DefaultParagraphFont"/>
    <w:link w:val="BalloonText"/>
    <w:qFormat/>
    <w:rPr>
      <w:rFonts w:ascii="Tahoma" w:eastAsia="Times New Roman" w:hAnsi="Tahoma" w:cs="Tahoma"/>
      <w:sz w:val="16"/>
      <w:szCs w:val="16"/>
      <w:lang w:val="en-GB"/>
    </w:rPr>
  </w:style>
  <w:style w:type="character" w:customStyle="1" w:styleId="FootnoteTextChar">
    <w:name w:val="Footnote Text Char"/>
    <w:basedOn w:val="DefaultParagraphFont"/>
    <w:link w:val="FootnoteText"/>
    <w:qFormat/>
    <w:rPr>
      <w:rFonts w:ascii="Calibri" w:eastAsia="Times New Roman" w:hAnsi="Calibri" w:cs="Times New Roman"/>
      <w:sz w:val="20"/>
      <w:szCs w:val="20"/>
      <w:lang w:val="en-GB"/>
    </w:rPr>
  </w:style>
  <w:style w:type="paragraph" w:styleId="ListParagraph">
    <w:name w:val="List Paragraph"/>
    <w:basedOn w:val="Normal"/>
    <w:link w:val="ListParagraphChar"/>
    <w:uiPriority w:val="34"/>
    <w:qFormat/>
    <w:pPr>
      <w:spacing w:line="240" w:lineRule="auto"/>
      <w:ind w:left="720"/>
      <w:contextualSpacing/>
      <w:jc w:val="left"/>
    </w:pPr>
    <w:rPr>
      <w:rFonts w:ascii="Times New Roman" w:hAnsi="Times New Roman"/>
      <w:sz w:val="24"/>
      <w:lang w:eastAsia="en-GB"/>
    </w:rPr>
  </w:style>
  <w:style w:type="character" w:customStyle="1" w:styleId="PlainTextChar">
    <w:name w:val="Plain Text Char"/>
    <w:basedOn w:val="DefaultParagraphFont"/>
    <w:link w:val="PlainText"/>
    <w:qFormat/>
    <w:rPr>
      <w:rFonts w:ascii="Courier New" w:eastAsia="Times New Roman" w:hAnsi="Courier New" w:cs="Times New Roman"/>
      <w:sz w:val="20"/>
      <w:szCs w:val="20"/>
      <w:lang w:val="en-GB" w:eastAsia="en-GB"/>
    </w:rPr>
  </w:style>
  <w:style w:type="paragraph" w:customStyle="1" w:styleId="TableText">
    <w:name w:val="Table Text"/>
    <w:basedOn w:val="Normal"/>
    <w:link w:val="TableTextChar"/>
    <w:qFormat/>
    <w:pPr>
      <w:spacing w:before="60" w:after="60" w:line="240" w:lineRule="auto"/>
      <w:jc w:val="left"/>
    </w:pPr>
    <w:rPr>
      <w:rFonts w:ascii="Arial" w:hAnsi="Arial"/>
      <w:sz w:val="20"/>
      <w:szCs w:val="20"/>
    </w:rPr>
  </w:style>
  <w:style w:type="character" w:customStyle="1" w:styleId="TableTextChar">
    <w:name w:val="Table Text Char"/>
    <w:basedOn w:val="DefaultParagraphFont"/>
    <w:link w:val="TableText"/>
    <w:qFormat/>
    <w:locked/>
    <w:rPr>
      <w:rFonts w:ascii="Arial" w:eastAsia="Times New Roman" w:hAnsi="Arial" w:cs="Times New Roman"/>
      <w:sz w:val="20"/>
      <w:szCs w:val="20"/>
      <w:lang w:val="en-GB"/>
    </w:rPr>
  </w:style>
  <w:style w:type="character" w:customStyle="1" w:styleId="DocumentMapChar">
    <w:name w:val="Document Map Char"/>
    <w:basedOn w:val="DefaultParagraphFont"/>
    <w:link w:val="DocumentMap"/>
    <w:qFormat/>
    <w:rPr>
      <w:rFonts w:ascii="Tahoma" w:eastAsia="Times New Roman" w:hAnsi="Tahoma" w:cs="Tahoma"/>
      <w:sz w:val="16"/>
      <w:szCs w:val="16"/>
      <w:lang w:val="en-GB" w:eastAsia="en-GB"/>
    </w:rPr>
  </w:style>
  <w:style w:type="character" w:customStyle="1" w:styleId="CommentTextChar">
    <w:name w:val="Comment Text Char"/>
    <w:basedOn w:val="DefaultParagraphFont"/>
    <w:link w:val="CommentText"/>
    <w:qFormat/>
    <w:rPr>
      <w:rFonts w:ascii="Times New Roman" w:eastAsia="Times New Roman" w:hAnsi="Times New Roman" w:cs="Times New Roman"/>
      <w:sz w:val="20"/>
      <w:szCs w:val="20"/>
      <w:lang w:val="en-GB" w:eastAsia="en-GB"/>
    </w:rPr>
  </w:style>
  <w:style w:type="character" w:customStyle="1" w:styleId="CommentSubjectChar">
    <w:name w:val="Comment Subject Char"/>
    <w:basedOn w:val="CommentTextChar"/>
    <w:link w:val="CommentSubject"/>
    <w:qFormat/>
    <w:rPr>
      <w:rFonts w:ascii="Times New Roman" w:eastAsia="Times New Roman" w:hAnsi="Times New Roman" w:cs="Times New Roman"/>
      <w:b/>
      <w:bCs/>
      <w:sz w:val="20"/>
      <w:szCs w:val="20"/>
      <w:lang w:val="en-GB" w:eastAsia="en-GB"/>
    </w:rPr>
  </w:style>
  <w:style w:type="character" w:customStyle="1" w:styleId="BodyText2Char">
    <w:name w:val="Body Text 2 Char"/>
    <w:basedOn w:val="DefaultParagraphFont"/>
    <w:link w:val="BodyText2"/>
    <w:qFormat/>
    <w:rPr>
      <w:rFonts w:ascii="Arial" w:eastAsia="Times New Roman" w:hAnsi="Arial" w:cs="Arial"/>
      <w:b/>
      <w:bCs/>
      <w:szCs w:val="24"/>
      <w:u w:val="single"/>
      <w:lang w:val="en-GB"/>
    </w:rPr>
  </w:style>
  <w:style w:type="character" w:customStyle="1" w:styleId="TitleChar">
    <w:name w:val="Title Char"/>
    <w:basedOn w:val="DefaultParagraphFont"/>
    <w:link w:val="Title"/>
    <w:qFormat/>
    <w:rPr>
      <w:rFonts w:ascii="Arial" w:eastAsia="Times New Roman" w:hAnsi="Arial" w:cs="Arial"/>
      <w:b/>
      <w:bCs/>
      <w:sz w:val="28"/>
      <w:szCs w:val="24"/>
      <w:u w:val="single"/>
      <w:lang w:val="en-GB"/>
    </w:rPr>
  </w:style>
  <w:style w:type="paragraph" w:customStyle="1" w:styleId="Tabletextheadings">
    <w:name w:val="Table text headings"/>
    <w:basedOn w:val="TableText"/>
    <w:qFormat/>
    <w:pPr>
      <w:spacing w:before="120" w:after="120"/>
    </w:pPr>
    <w:rPr>
      <w:rFonts w:ascii="Arial Bold" w:eastAsiaTheme="minorHAnsi" w:hAnsi="Arial Bold" w:cstheme="minorBidi"/>
      <w:b/>
      <w:szCs w:val="22"/>
      <w:lang w:val="en-ZA"/>
    </w:rPr>
  </w:style>
  <w:style w:type="paragraph" w:customStyle="1" w:styleId="Revision1">
    <w:name w:val="Revision1"/>
    <w:hidden/>
    <w:uiPriority w:val="99"/>
    <w:semiHidden/>
    <w:qFormat/>
    <w:rPr>
      <w:rFonts w:ascii="Calibri" w:eastAsia="Times New Roman" w:hAnsi="Calibri" w:cs="Times New Roman"/>
      <w:sz w:val="22"/>
      <w:szCs w:val="24"/>
      <w:lang w:val="en-GB" w:eastAsia="en-US"/>
    </w:rPr>
  </w:style>
  <w:style w:type="paragraph" w:customStyle="1" w:styleId="Bullet-Indent">
    <w:name w:val="Bullet - Indent"/>
    <w:basedOn w:val="Normal"/>
    <w:qFormat/>
    <w:pPr>
      <w:numPr>
        <w:ilvl w:val="1"/>
        <w:numId w:val="4"/>
      </w:numPr>
      <w:tabs>
        <w:tab w:val="clear" w:pos="1440"/>
        <w:tab w:val="left" w:pos="1080"/>
      </w:tabs>
      <w:spacing w:after="60" w:line="288" w:lineRule="auto"/>
      <w:ind w:left="1080" w:hanging="540"/>
    </w:pPr>
    <w:rPr>
      <w:rFonts w:ascii="Arial" w:hAnsi="Arial" w:cs="Arial"/>
      <w:szCs w:val="20"/>
      <w:lang w:val="en-ZA"/>
    </w:rPr>
  </w:style>
  <w:style w:type="character" w:customStyle="1" w:styleId="BodyText3Char">
    <w:name w:val="Body Text 3 Char"/>
    <w:basedOn w:val="DefaultParagraphFont"/>
    <w:link w:val="BodyText3"/>
    <w:qFormat/>
    <w:rPr>
      <w:rFonts w:ascii="Arial" w:eastAsia="Times New Roman" w:hAnsi="Arial" w:cs="Arial"/>
      <w:szCs w:val="24"/>
      <w:lang w:val="en-US"/>
    </w:rPr>
  </w:style>
  <w:style w:type="paragraph" w:customStyle="1" w:styleId="CharCharCharCharCharCharCharCharCharChar">
    <w:name w:val="Char Char Char Char Char Char Char Char Char Char"/>
    <w:basedOn w:val="Normal"/>
    <w:qFormat/>
    <w:pPr>
      <w:spacing w:after="160" w:line="240" w:lineRule="exact"/>
      <w:jc w:val="left"/>
    </w:pPr>
    <w:rPr>
      <w:rFonts w:ascii="Arial" w:hAnsi="Arial"/>
      <w:bCs/>
      <w:lang w:val="en-US"/>
    </w:rPr>
  </w:style>
  <w:style w:type="paragraph" w:customStyle="1" w:styleId="bullet">
    <w:name w:val="bullet"/>
    <w:basedOn w:val="Normal"/>
    <w:qFormat/>
    <w:pPr>
      <w:numPr>
        <w:numId w:val="5"/>
      </w:numPr>
      <w:spacing w:line="240" w:lineRule="auto"/>
    </w:pPr>
    <w:rPr>
      <w:rFonts w:ascii="Arial" w:hAnsi="Arial"/>
      <w:lang w:val="en-ZA" w:eastAsia="en-ZA"/>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en-GB"/>
    </w:rPr>
  </w:style>
  <w:style w:type="paragraph" w:customStyle="1" w:styleId="BulletSpace">
    <w:name w:val="Bullet Space"/>
    <w:basedOn w:val="Normal"/>
    <w:qFormat/>
    <w:pPr>
      <w:spacing w:after="120" w:line="240" w:lineRule="auto"/>
      <w:jc w:val="left"/>
    </w:pPr>
    <w:rPr>
      <w:rFonts w:ascii="Times New Roman" w:hAnsi="Times New Roman"/>
      <w:szCs w:val="20"/>
      <w:lang w:val="en-ZA"/>
    </w:rPr>
  </w:style>
  <w:style w:type="paragraph" w:customStyle="1" w:styleId="BodyText1">
    <w:name w:val="Body Text 1"/>
    <w:basedOn w:val="Normal"/>
    <w:qFormat/>
    <w:pPr>
      <w:spacing w:before="60" w:after="60" w:line="240" w:lineRule="auto"/>
      <w:ind w:left="851"/>
      <w:jc w:val="left"/>
    </w:pPr>
    <w:rPr>
      <w:rFonts w:ascii="Book Antiqua" w:hAnsi="Book Antiqua"/>
      <w:szCs w:val="20"/>
    </w:rPr>
  </w:style>
  <w:style w:type="character" w:customStyle="1" w:styleId="ListParagraphChar">
    <w:name w:val="List Paragraph Char"/>
    <w:basedOn w:val="DefaultParagraphFont"/>
    <w:link w:val="ListParagraph"/>
    <w:uiPriority w:val="34"/>
    <w:qFormat/>
    <w:locked/>
    <w:rPr>
      <w:rFonts w:ascii="Times New Roman" w:eastAsia="Times New Roman" w:hAnsi="Times New Roman" w:cs="Times New Roman"/>
      <w:sz w:val="24"/>
      <w:szCs w:val="24"/>
      <w:lang w:val="en-GB" w:eastAsia="en-GB"/>
    </w:rPr>
  </w:style>
  <w:style w:type="paragraph" w:customStyle="1" w:styleId="Bulletsforqualifications">
    <w:name w:val="Bullets for qualifications"/>
    <w:basedOn w:val="ListParagraph"/>
    <w:qFormat/>
    <w:pPr>
      <w:numPr>
        <w:numId w:val="6"/>
      </w:numPr>
      <w:tabs>
        <w:tab w:val="left" w:pos="360"/>
      </w:tabs>
      <w:spacing w:before="240" w:after="240" w:line="360" w:lineRule="auto"/>
      <w:ind w:left="720" w:firstLine="0"/>
      <w:contextualSpacing w:val="0"/>
      <w:jc w:val="both"/>
    </w:pPr>
    <w:rPr>
      <w:rFonts w:ascii="Calibri" w:hAnsi="Calibri"/>
      <w:b/>
      <w:color w:val="002060"/>
      <w:sz w:val="22"/>
      <w:lang w:eastAsia="en-US"/>
    </w:rPr>
  </w:style>
  <w:style w:type="table" w:customStyle="1" w:styleId="BSWordTable4">
    <w:name w:val="BS Word Table4"/>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BED3E4"/>
      </w:tcPr>
    </w:tblStylePr>
  </w:style>
  <w:style w:type="table" w:customStyle="1" w:styleId="BSWordTable5">
    <w:name w:val="BS Word Table5"/>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BED3E4"/>
      </w:tcPr>
    </w:tblStylePr>
  </w:style>
  <w:style w:type="paragraph" w:customStyle="1" w:styleId="Default">
    <w:name w:val="Default"/>
    <w:qFormat/>
    <w:pPr>
      <w:autoSpaceDE w:val="0"/>
      <w:autoSpaceDN w:val="0"/>
      <w:adjustRightInd w:val="0"/>
    </w:pPr>
    <w:rPr>
      <w:rFonts w:ascii="Arial" w:eastAsia="Times New Roman" w:hAnsi="Arial" w:cs="Arial"/>
      <w:color w:val="000000"/>
      <w:sz w:val="24"/>
      <w:szCs w:val="24"/>
    </w:rPr>
  </w:style>
  <w:style w:type="paragraph" w:customStyle="1" w:styleId="TOCHeading1">
    <w:name w:val="TOC Heading1"/>
    <w:basedOn w:val="Heading1"/>
    <w:next w:val="Normal"/>
    <w:uiPriority w:val="39"/>
    <w:semiHidden/>
    <w:unhideWhenUsed/>
    <w:qFormat/>
    <w:pPr>
      <w:keepLines/>
      <w:pageBreakBefore w:val="0"/>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caps w:val="0"/>
      <w:color w:val="365F91" w:themeColor="accent1" w:themeShade="BF"/>
      <w:kern w:val="0"/>
      <w:szCs w:val="28"/>
      <w:lang w:val="en-US" w:eastAsia="ja-JP"/>
    </w:rPr>
  </w:style>
  <w:style w:type="table" w:customStyle="1" w:styleId="BSWordTable1">
    <w:name w:val="BS Word Table1"/>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BED3E4"/>
      </w:tcPr>
    </w:tblStylePr>
  </w:style>
  <w:style w:type="table" w:customStyle="1" w:styleId="BSWordTable2">
    <w:name w:val="BS Word Table2"/>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BED3E4"/>
      </w:tcPr>
    </w:tblStylePr>
  </w:style>
  <w:style w:type="table" w:customStyle="1" w:styleId="BSWordTable3">
    <w:name w:val="BS Word Table3"/>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w Cen MT" w:hAnsi="Tw Cen M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Tw Cen MT" w:hAnsi="Tw Cen MT"/>
        <w:sz w:val="20"/>
      </w:rPr>
      <w:tblPr/>
      <w:tcPr>
        <w:tcBorders>
          <w:top w:val="nil"/>
          <w:left w:val="nil"/>
          <w:bottom w:val="nil"/>
          <w:right w:val="nil"/>
          <w:insideH w:val="nil"/>
          <w:insideV w:val="single" w:sz="2" w:space="0" w:color="auto"/>
          <w:tl2br w:val="nil"/>
          <w:tr2bl w:val="nil"/>
        </w:tcBorders>
        <w:shd w:val="clear" w:color="auto" w:fill="BED3E4"/>
      </w:tcPr>
    </w:tblStylePr>
  </w:style>
  <w:style w:type="table" w:customStyle="1" w:styleId="BSWordTable6">
    <w:name w:val="BS Word Table6"/>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Tahoma" w:hAnsi="Tahoma"/>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Tahoma" w:hAnsi="Tahoma"/>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Tahoma" w:hAnsi="Tahoma"/>
        <w:sz w:val="20"/>
      </w:rPr>
      <w:tblPr/>
      <w:tcPr>
        <w:tcBorders>
          <w:top w:val="nil"/>
          <w:left w:val="nil"/>
          <w:bottom w:val="nil"/>
          <w:right w:val="nil"/>
          <w:insideH w:val="nil"/>
          <w:insideV w:val="single" w:sz="2" w:space="0" w:color="auto"/>
          <w:tl2br w:val="nil"/>
          <w:tr2bl w:val="nil"/>
        </w:tcBorders>
        <w:shd w:val="clear" w:color="auto" w:fill="BED3E4"/>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ullet1">
    <w:name w:val="Bullet 1"/>
    <w:basedOn w:val="Normal"/>
    <w:qFormat/>
    <w:pPr>
      <w:keepNext/>
      <w:spacing w:before="120" w:after="120" w:line="240" w:lineRule="auto"/>
      <w:jc w:val="left"/>
    </w:pPr>
    <w:rPr>
      <w:rFonts w:ascii="Arial" w:hAnsi="Arial"/>
      <w:szCs w:val="20"/>
    </w:rPr>
  </w:style>
  <w:style w:type="table" w:customStyle="1" w:styleId="BSWordTable7">
    <w:name w:val="BS Word Table7"/>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Bahnschrift Light" w:hAnsi="Bahnschrift Light"/>
        <w:b/>
        <w:color w:val="FFFFFF"/>
        <w:sz w:val="20"/>
      </w:rPr>
      <w:tblPr/>
      <w:trPr>
        <w:tblHeader/>
      </w:trPr>
      <w:tcPr>
        <w:tcBorders>
          <w:top w:val="nil"/>
          <w:left w:val="nil"/>
          <w:bottom w:val="nil"/>
          <w:right w:val="nil"/>
          <w:insideH w:val="nil"/>
          <w:insideV w:val="single" w:sz="2" w:space="0" w:color="auto"/>
          <w:tl2br w:val="nil"/>
          <w:tr2bl w:val="nil"/>
        </w:tcBorders>
        <w:shd w:val="clear" w:color="auto" w:fill="0033CC"/>
        <w:vAlign w:val="center"/>
      </w:tcPr>
    </w:tblStylePr>
    <w:tblStylePr w:type="band1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Bahnschrift Light" w:hAnsi="Bahnschrift Light"/>
        <w:sz w:val="20"/>
      </w:rPr>
      <w:tblPr/>
      <w:tcPr>
        <w:tcBorders>
          <w:top w:val="nil"/>
          <w:left w:val="nil"/>
          <w:bottom w:val="nil"/>
          <w:right w:val="nil"/>
          <w:insideH w:val="nil"/>
          <w:insideV w:val="single" w:sz="2" w:space="0" w:color="auto"/>
          <w:tl2br w:val="nil"/>
          <w:tr2bl w:val="nil"/>
        </w:tcBorders>
        <w:shd w:val="clear" w:color="auto" w:fill="BED3E4"/>
      </w:tcPr>
    </w:tblStylePr>
  </w:style>
  <w:style w:type="character" w:customStyle="1" w:styleId="UnresolvedMention11">
    <w:name w:val="Unresolved Mention11"/>
    <w:basedOn w:val="DefaultParagraphFont"/>
    <w:uiPriority w:val="99"/>
    <w:semiHidden/>
    <w:unhideWhenUsed/>
    <w:qFormat/>
    <w:rPr>
      <w:color w:val="808080"/>
      <w:shd w:val="clear" w:color="auto" w:fill="E6E6E6"/>
    </w:rPr>
  </w:style>
  <w:style w:type="table" w:customStyle="1" w:styleId="BSWordTable21">
    <w:name w:val="BS Word Table21"/>
    <w:basedOn w:val="TableNormal"/>
    <w:uiPriority w:val="99"/>
    <w:qFormat/>
    <w:rPr>
      <w:rFonts w:ascii="Arial Narrow" w:eastAsia="Tw Cen MT" w:hAnsi="Arial Narrow" w:cs="Times New Roman"/>
    </w:rPr>
    <w:tblPr>
      <w:tblBorders>
        <w:top w:val="single" w:sz="12" w:space="0" w:color="0000CC"/>
        <w:left w:val="single" w:sz="12" w:space="0" w:color="0000CC"/>
        <w:bottom w:val="single" w:sz="12" w:space="0" w:color="0000CC"/>
        <w:right w:val="single" w:sz="12" w:space="0" w:color="0000CC"/>
      </w:tblBorders>
    </w:tblPr>
    <w:tblStylePr w:type="firstRow">
      <w:pPr>
        <w:wordWrap/>
        <w:jc w:val="center"/>
      </w:pPr>
      <w:rPr>
        <w:rFonts w:ascii="@Gulim" w:hAnsi="@Gulim"/>
        <w:b/>
        <w:color w:val="FFFFFF"/>
        <w:sz w:val="20"/>
      </w:rPr>
      <w:tblPr/>
      <w:tcPr>
        <w:tcBorders>
          <w:top w:val="nil"/>
          <w:left w:val="nil"/>
          <w:bottom w:val="nil"/>
          <w:right w:val="nil"/>
          <w:insideH w:val="nil"/>
          <w:insideV w:val="single" w:sz="2" w:space="0" w:color="auto"/>
          <w:tl2br w:val="nil"/>
          <w:tr2bl w:val="nil"/>
        </w:tcBorders>
        <w:shd w:val="clear" w:color="auto" w:fill="002060"/>
      </w:tcPr>
    </w:tblStylePr>
    <w:tblStylePr w:type="band1Horz">
      <w:pPr>
        <w:jc w:val="left"/>
      </w:pPr>
      <w:rPr>
        <w:rFonts w:ascii="@Gulim" w:hAnsi="@Gulim"/>
        <w:sz w:val="20"/>
      </w:rPr>
      <w:tblPr/>
      <w:tcPr>
        <w:tcBorders>
          <w:top w:val="nil"/>
          <w:left w:val="nil"/>
          <w:bottom w:val="nil"/>
          <w:right w:val="nil"/>
          <w:insideH w:val="nil"/>
          <w:insideV w:val="single" w:sz="2" w:space="0" w:color="auto"/>
          <w:tl2br w:val="nil"/>
          <w:tr2bl w:val="nil"/>
        </w:tcBorders>
        <w:shd w:val="clear" w:color="auto" w:fill="D4E1ED"/>
      </w:tcPr>
    </w:tblStylePr>
    <w:tblStylePr w:type="band2Horz">
      <w:pPr>
        <w:jc w:val="left"/>
      </w:pPr>
      <w:rPr>
        <w:rFonts w:ascii="@Gulim" w:hAnsi="@Gulim"/>
        <w:sz w:val="20"/>
      </w:rPr>
      <w:tblPr/>
      <w:tcPr>
        <w:tcBorders>
          <w:top w:val="nil"/>
          <w:left w:val="nil"/>
          <w:bottom w:val="nil"/>
          <w:right w:val="nil"/>
          <w:insideH w:val="nil"/>
          <w:insideV w:val="single" w:sz="2" w:space="0" w:color="auto"/>
          <w:tl2br w:val="nil"/>
          <w:tr2bl w:val="nil"/>
        </w:tcBorders>
        <w:shd w:val="clear" w:color="auto" w:fill="BED3E4"/>
      </w:tcPr>
    </w:tblStylePr>
  </w:style>
  <w:style w:type="character" w:customStyle="1" w:styleId="UnresolvedMention2">
    <w:name w:val="Unresolved Mention2"/>
    <w:basedOn w:val="DefaultParagraphFont"/>
    <w:uiPriority w:val="99"/>
    <w:semiHidden/>
    <w:unhideWhenUsed/>
    <w:qFormat/>
    <w:rPr>
      <w:color w:val="808080"/>
      <w:shd w:val="clear" w:color="auto" w:fill="E6E6E6"/>
    </w:rPr>
  </w:style>
  <w:style w:type="character" w:customStyle="1" w:styleId="UnresolvedMention3">
    <w:name w:val="Unresolved Mention3"/>
    <w:basedOn w:val="DefaultParagraphFont"/>
    <w:uiPriority w:val="99"/>
    <w:semiHidden/>
    <w:unhideWhenUsed/>
    <w:qFormat/>
    <w:rPr>
      <w:color w:val="808080"/>
      <w:shd w:val="clear" w:color="auto" w:fill="E6E6E6"/>
    </w:rPr>
  </w:style>
  <w:style w:type="table" w:customStyle="1" w:styleId="GridTable4-Accent11">
    <w:name w:val="Grid Table 4 - Accent 11"/>
    <w:basedOn w:val="Table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1">
    <w:name w:val="Body 1"/>
    <w:basedOn w:val="Normal"/>
    <w:link w:val="Body1Char"/>
    <w:qFormat/>
    <w:pPr>
      <w:spacing w:before="120" w:after="120"/>
    </w:pPr>
    <w:rPr>
      <w:rFonts w:ascii="Arial" w:hAnsi="Arial"/>
      <w:sz w:val="20"/>
      <w:szCs w:val="20"/>
      <w:lang w:val="en-ZA" w:eastAsia="en-ZA"/>
    </w:rPr>
  </w:style>
  <w:style w:type="character" w:customStyle="1" w:styleId="Body1Char">
    <w:name w:val="Body 1 Char"/>
    <w:link w:val="Body1"/>
    <w:qFormat/>
    <w:rPr>
      <w:rFonts w:ascii="Arial" w:eastAsia="Times New Roman" w:hAnsi="Arial" w:cs="Times New Roman"/>
      <w:sz w:val="20"/>
      <w:szCs w:val="20"/>
      <w:lang w:eastAsia="en-ZA"/>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CaptionChar">
    <w:name w:val="Caption Char"/>
    <w:basedOn w:val="DefaultParagraphFont"/>
    <w:link w:val="Caption"/>
    <w:uiPriority w:val="35"/>
    <w:qFormat/>
    <w:rPr>
      <w:rFonts w:ascii="Calibri" w:eastAsia="Times New Roman" w:hAnsi="Calibri" w:cs="Times New Roman"/>
      <w:i/>
      <w:iCs/>
      <w:color w:val="1F497D" w:themeColor="text2"/>
      <w:sz w:val="18"/>
      <w:szCs w:val="18"/>
      <w:lang w:val="en-GB"/>
    </w:rPr>
  </w:style>
  <w:style w:type="table" w:customStyle="1" w:styleId="ListTable4-Accent11">
    <w:name w:val="List Table 4 - Accent 11"/>
    <w:basedOn w:val="TableNormal"/>
    <w:uiPriority w:val="49"/>
    <w:qFormat/>
    <w:rPr>
      <w:kern w:val="2"/>
      <w:lang w:val="en-US"/>
      <w14:ligatures w14:val="standardContextual"/>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tion1">
    <w:name w:val="Mention1"/>
    <w:basedOn w:val="DefaultParagraphFont"/>
    <w:uiPriority w:val="99"/>
    <w:unhideWhenUsed/>
    <w:qFormat/>
    <w:rPr>
      <w:color w:val="2B579A"/>
      <w:shd w:val="clear" w:color="auto" w:fill="E1DFDD"/>
    </w:rPr>
  </w:style>
  <w:style w:type="character" w:customStyle="1" w:styleId="contentpasted0">
    <w:name w:val="contentpasted0"/>
    <w:basedOn w:val="DefaultParagraphFont"/>
    <w:qFormat/>
  </w:style>
  <w:style w:type="paragraph" w:customStyle="1" w:styleId="pf0">
    <w:name w:val="pf0"/>
    <w:basedOn w:val="Normal"/>
    <w:qFormat/>
    <w:pPr>
      <w:spacing w:before="100" w:beforeAutospacing="1" w:after="100" w:afterAutospacing="1" w:line="240" w:lineRule="auto"/>
      <w:jc w:val="left"/>
    </w:pPr>
    <w:rPr>
      <w:rFonts w:ascii="Times New Roman" w:hAnsi="Times New Roman"/>
      <w:sz w:val="24"/>
      <w:lang w:val="en-ZA" w:eastAsia="en-ZA"/>
    </w:rPr>
  </w:style>
  <w:style w:type="character" w:customStyle="1" w:styleId="cf01">
    <w:name w:val="cf01"/>
    <w:basedOn w:val="DefaultParagraphFont"/>
    <w:qFormat/>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5.png"/><Relationship Id="rId42" Type="http://schemas.openxmlformats.org/officeDocument/2006/relationships/chart" Target="charts/chart2.xml"/><Relationship Id="rId47" Type="http://schemas.openxmlformats.org/officeDocument/2006/relationships/image" Target="media/image11.png"/><Relationship Id="rId63" Type="http://schemas.openxmlformats.org/officeDocument/2006/relationships/header" Target="header16.xml"/><Relationship Id="rId68"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chart" Target="charts/chart4.xml"/><Relationship Id="rId53" Type="http://schemas.openxmlformats.org/officeDocument/2006/relationships/image" Target="media/image12.png"/><Relationship Id="rId58" Type="http://schemas.openxmlformats.org/officeDocument/2006/relationships/header" Target="header14.xml"/><Relationship Id="rId66" Type="http://schemas.openxmlformats.org/officeDocument/2006/relationships/footer" Target="footer18.xml"/><Relationship Id="rId74" Type="http://schemas.openxmlformats.org/officeDocument/2006/relationships/footer" Target="footer22.xml"/><Relationship Id="rId5" Type="http://schemas.openxmlformats.org/officeDocument/2006/relationships/customXml" Target="../customXml/item5.xml"/><Relationship Id="rId61" Type="http://schemas.openxmlformats.org/officeDocument/2006/relationships/footer" Target="footer16.xml"/><Relationship Id="rId19" Type="http://schemas.openxmlformats.org/officeDocument/2006/relationships/hyperlink" Target="https://www.google.co.za/url?sa=i%26rct=j%26q=%26esrc=s%26source=images%26cd=%26cad=rja%26uact=8%26ved=2ahUKEwiP5fqLj6raAhUDaxQKHSMtB_EQjRx6BAgAEAU%26url=https://en.wikipedia.org/wiki/List_of_municipalities_in_the_Free_State%26psig=AOvVaw2noYCEQv6hyLBhpfuIzUGi%26ust=1523257619484868" TargetMode="Externa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chart" Target="charts/chart5.xml"/><Relationship Id="rId56" Type="http://schemas.openxmlformats.org/officeDocument/2006/relationships/header" Target="header13.xml"/><Relationship Id="rId64" Type="http://schemas.openxmlformats.org/officeDocument/2006/relationships/footer" Target="footer17.xml"/><Relationship Id="rId69"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header" Target="header11.xml"/><Relationship Id="rId72"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yperlink" Target="http://www.bloemfonteincourant.co.za/new-mangaung-mayor-no-empty-brainer/"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image" Target="media/image10.png"/><Relationship Id="rId59" Type="http://schemas.openxmlformats.org/officeDocument/2006/relationships/footer" Target="footer15.xml"/><Relationship Id="rId67" Type="http://schemas.openxmlformats.org/officeDocument/2006/relationships/header" Target="header18.xml"/><Relationship Id="rId20" Type="http://schemas.openxmlformats.org/officeDocument/2006/relationships/image" Target="media/image4.png"/><Relationship Id="rId41" Type="http://schemas.openxmlformats.org/officeDocument/2006/relationships/chart" Target="charts/chart1.xml"/><Relationship Id="rId54" Type="http://schemas.openxmlformats.org/officeDocument/2006/relationships/header" Target="header12.xml"/><Relationship Id="rId62" Type="http://schemas.openxmlformats.org/officeDocument/2006/relationships/image" Target="media/image13.png"/><Relationship Id="rId70" Type="http://schemas.openxmlformats.org/officeDocument/2006/relationships/footer" Target="footer2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0.xml"/><Relationship Id="rId57" Type="http://schemas.openxmlformats.org/officeDocument/2006/relationships/footer" Target="footer14.xm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chart" Target="charts/chart3.xml"/><Relationship Id="rId52" Type="http://schemas.openxmlformats.org/officeDocument/2006/relationships/footer" Target="footer12.xml"/><Relationship Id="rId60" Type="http://schemas.openxmlformats.org/officeDocument/2006/relationships/header" Target="header15.xml"/><Relationship Id="rId65" Type="http://schemas.openxmlformats.org/officeDocument/2006/relationships/header" Target="header17.xml"/><Relationship Id="rId73"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header" Target="header9.xml"/><Relationship Id="rId34" Type="http://schemas.openxmlformats.org/officeDocument/2006/relationships/footer" Target="footer7.xm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20.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1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2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2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bloemfonteincourant.co.za/new-mangaung-mayor-no-empty-brain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_ltfp_downloa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wie\Downloads\MAN_ltfp_downloa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ristiaan\AppData\Local\Microsoft\Windows\INetCache\Content.Outlook\EB671DJW\MAN_ltfp_downloa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sz="1400"/>
              <a:t>Contribution of Main Income Sources to Total Operating Income (Excl. Grants)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FinPerf!$D$44</c:f>
              <c:strCache>
                <c:ptCount val="1"/>
                <c:pt idx="0">
                  <c:v>Total Operating Revenue</c:v>
                </c:pt>
              </c:strCache>
            </c:strRef>
          </c:tx>
          <c:spPr>
            <a:solidFill>
              <a:schemeClr val="accent1"/>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FinPerf!$E$44:$K$44</c:f>
              <c:numCache>
                <c:formatCode>_-* #,##0_-;\-* #,##0_-;_-* "-"??_-;_-@_-</c:formatCode>
                <c:ptCount val="7"/>
                <c:pt idx="0">
                  <c:v>6831126682</c:v>
                </c:pt>
                <c:pt idx="1">
                  <c:v>7089827671</c:v>
                </c:pt>
                <c:pt idx="2">
                  <c:v>7110609003</c:v>
                </c:pt>
                <c:pt idx="3">
                  <c:v>7914527060</c:v>
                </c:pt>
                <c:pt idx="4">
                  <c:v>8284441053</c:v>
                </c:pt>
                <c:pt idx="5">
                  <c:v>8944009521</c:v>
                </c:pt>
                <c:pt idx="6">
                  <c:v>9493248105</c:v>
                </c:pt>
              </c:numCache>
            </c:numRef>
          </c:val>
          <c:extLst>
            <c:ext xmlns:c16="http://schemas.microsoft.com/office/drawing/2014/chart" uri="{C3380CC4-5D6E-409C-BE32-E72D297353CC}">
              <c16:uniqueId val="{00000000-7D61-4D6C-BC55-F40CD3E131EC}"/>
            </c:ext>
          </c:extLst>
        </c:ser>
        <c:ser>
          <c:idx val="1"/>
          <c:order val="1"/>
          <c:tx>
            <c:strRef>
              <c:f>FinPerf!$D$45</c:f>
              <c:strCache>
                <c:ptCount val="1"/>
                <c:pt idx="0">
                  <c:v>Total Operating Expenditure</c:v>
                </c:pt>
              </c:strCache>
            </c:strRef>
          </c:tx>
          <c:spPr>
            <a:solidFill>
              <a:schemeClr val="accent2"/>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FinPerf!$E$45:$K$45</c:f>
              <c:numCache>
                <c:formatCode>_-* #,##0_-;\-* #,##0_-;_-* "-"??_-;_-@_-</c:formatCode>
                <c:ptCount val="7"/>
                <c:pt idx="0">
                  <c:v>7784624570</c:v>
                </c:pt>
                <c:pt idx="1">
                  <c:v>7416624688</c:v>
                </c:pt>
                <c:pt idx="2">
                  <c:v>7977002052</c:v>
                </c:pt>
                <c:pt idx="3">
                  <c:v>9582319649</c:v>
                </c:pt>
                <c:pt idx="4">
                  <c:v>8100931987</c:v>
                </c:pt>
                <c:pt idx="5">
                  <c:v>8523797941</c:v>
                </c:pt>
                <c:pt idx="6">
                  <c:v>8867371578</c:v>
                </c:pt>
              </c:numCache>
            </c:numRef>
          </c:val>
          <c:extLst>
            <c:ext xmlns:c16="http://schemas.microsoft.com/office/drawing/2014/chart" uri="{C3380CC4-5D6E-409C-BE32-E72D297353CC}">
              <c16:uniqueId val="{00000001-7D61-4D6C-BC55-F40CD3E131EC}"/>
            </c:ext>
          </c:extLst>
        </c:ser>
        <c:ser>
          <c:idx val="2"/>
          <c:order val="2"/>
          <c:tx>
            <c:strRef>
              <c:f>FinPerf!$D$46</c:f>
              <c:strCache>
                <c:ptCount val="1"/>
                <c:pt idx="0">
                  <c:v>Net Operating Surplus / (Deficit)</c:v>
                </c:pt>
              </c:strCache>
            </c:strRef>
          </c:tx>
          <c:spPr>
            <a:solidFill>
              <a:schemeClr val="accent3"/>
            </a:solidFill>
            <a:ln>
              <a:noFill/>
            </a:ln>
            <a:effectLst/>
          </c:spPr>
          <c:invertIfNegative val="0"/>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FinPerf!$E$46:$K$46</c:f>
              <c:numCache>
                <c:formatCode>_-* #,##0_-;\-* #,##0_-;_-* "-"??_-;_-@_-</c:formatCode>
                <c:ptCount val="7"/>
                <c:pt idx="0">
                  <c:v>-953497888</c:v>
                </c:pt>
                <c:pt idx="1">
                  <c:v>-326797017</c:v>
                </c:pt>
                <c:pt idx="2">
                  <c:v>-866393049</c:v>
                </c:pt>
                <c:pt idx="3">
                  <c:v>-1667792589</c:v>
                </c:pt>
                <c:pt idx="4">
                  <c:v>183509066</c:v>
                </c:pt>
                <c:pt idx="5">
                  <c:v>420211580</c:v>
                </c:pt>
                <c:pt idx="6">
                  <c:v>625876527</c:v>
                </c:pt>
              </c:numCache>
            </c:numRef>
          </c:val>
          <c:extLst>
            <c:ext xmlns:c16="http://schemas.microsoft.com/office/drawing/2014/chart" uri="{C3380CC4-5D6E-409C-BE32-E72D297353CC}">
              <c16:uniqueId val="{00000002-7D61-4D6C-BC55-F40CD3E131EC}"/>
            </c:ext>
          </c:extLst>
        </c:ser>
        <c:dLbls>
          <c:showLegendKey val="0"/>
          <c:showVal val="0"/>
          <c:showCatName val="0"/>
          <c:showSerName val="0"/>
          <c:showPercent val="0"/>
          <c:showBubbleSize val="0"/>
        </c:dLbls>
        <c:gapWidth val="219"/>
        <c:overlap val="-27"/>
        <c:axId val="531952112"/>
        <c:axId val="531951328"/>
      </c:barChart>
      <c:lineChart>
        <c:grouping val="standard"/>
        <c:varyColors val="0"/>
        <c:ser>
          <c:idx val="3"/>
          <c:order val="3"/>
          <c:tx>
            <c:strRef>
              <c:f>FinPerf!$D$47</c:f>
              <c:strCache>
                <c:ptCount val="1"/>
                <c:pt idx="0">
                  <c:v>Margin</c:v>
                </c:pt>
              </c:strCache>
            </c:strRef>
          </c:tx>
          <c:spPr>
            <a:ln w="28575" cap="rnd">
              <a:solidFill>
                <a:schemeClr val="accent4"/>
              </a:solidFill>
              <a:round/>
            </a:ln>
            <a:effectLst/>
          </c:spPr>
          <c:marker>
            <c:symbol val="none"/>
          </c:marker>
          <c:cat>
            <c:multiLvlStrRef>
              <c:f>FinPerf!$E$42:$K$43</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FinPerf!$E$47:$K$47</c:f>
              <c:numCache>
                <c:formatCode>0.0%</c:formatCode>
                <c:ptCount val="7"/>
                <c:pt idx="0">
                  <c:v>-0.13958135054243201</c:v>
                </c:pt>
                <c:pt idx="1">
                  <c:v>-4.6093788476230503E-2</c:v>
                </c:pt>
                <c:pt idx="2">
                  <c:v>-0.12184512587240599</c:v>
                </c:pt>
                <c:pt idx="3">
                  <c:v>-0.21072548951522599</c:v>
                </c:pt>
                <c:pt idx="4">
                  <c:v>2.2151049760146101E-2</c:v>
                </c:pt>
                <c:pt idx="5">
                  <c:v>4.6982461167261499E-2</c:v>
                </c:pt>
                <c:pt idx="6">
                  <c:v>6.5928596838247297E-2</c:v>
                </c:pt>
              </c:numCache>
            </c:numRef>
          </c:val>
          <c:smooth val="0"/>
          <c:extLst>
            <c:ext xmlns:c16="http://schemas.microsoft.com/office/drawing/2014/chart" uri="{C3380CC4-5D6E-409C-BE32-E72D297353CC}">
              <c16:uniqueId val="{00000003-7D61-4D6C-BC55-F40CD3E131EC}"/>
            </c:ext>
          </c:extLst>
        </c:ser>
        <c:dLbls>
          <c:showLegendKey val="0"/>
          <c:showVal val="0"/>
          <c:showCatName val="0"/>
          <c:showSerName val="0"/>
          <c:showPercent val="0"/>
          <c:showBubbleSize val="0"/>
        </c:dLbls>
        <c:marker val="1"/>
        <c:smooth val="0"/>
        <c:axId val="153362544"/>
        <c:axId val="531952896"/>
      </c:lineChart>
      <c:catAx>
        <c:axId val="5319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31951328"/>
        <c:crosses val="autoZero"/>
        <c:auto val="1"/>
        <c:lblAlgn val="ctr"/>
        <c:lblOffset val="100"/>
        <c:noMultiLvlLbl val="0"/>
      </c:catAx>
      <c:valAx>
        <c:axId val="531951328"/>
        <c:scaling>
          <c:orientation val="minMax"/>
        </c:scaling>
        <c:delete val="0"/>
        <c:axPos val="l"/>
        <c:majorGridlines>
          <c:spPr>
            <a:ln w="9525" cap="flat" cmpd="sng" algn="ctr">
              <a:solidFill>
                <a:schemeClr val="tx1">
                  <a:lumMod val="15000"/>
                  <a:lumOff val="85000"/>
                </a:schemeClr>
              </a:solidFill>
              <a:round/>
            </a:ln>
            <a:effectLst/>
          </c:spPr>
        </c:majorGridlines>
        <c:numFmt formatCode="&quot;R&quot;#,##0" sourceLinked="0"/>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31952112"/>
        <c:crosses val="autoZero"/>
        <c:crossBetween val="between"/>
      </c:valAx>
      <c:catAx>
        <c:axId val="153362544"/>
        <c:scaling>
          <c:orientation val="minMax"/>
        </c:scaling>
        <c:delete val="1"/>
        <c:axPos val="b"/>
        <c:numFmt formatCode="General" sourceLinked="1"/>
        <c:majorTickMark val="none"/>
        <c:minorTickMark val="none"/>
        <c:tickLblPos val="nextTo"/>
        <c:crossAx val="531952896"/>
        <c:crosses val="autoZero"/>
        <c:auto val="1"/>
        <c:lblAlgn val="ctr"/>
        <c:lblOffset val="100"/>
        <c:noMultiLvlLbl val="0"/>
      </c:catAx>
      <c:valAx>
        <c:axId val="53195289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1533625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Operating Surplus / (Deficit)</a:t>
            </a:r>
            <a:r>
              <a:rPr lang="en-ZA" baseline="0"/>
              <a:t> by Service</a:t>
            </a:r>
            <a:endParaRPr lang="en-ZA"/>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FinPerf!$D$72</c:f>
              <c:strCache>
                <c:ptCount val="1"/>
                <c:pt idx="0">
                  <c:v>Electricity</c:v>
                </c:pt>
              </c:strCache>
            </c:strRef>
          </c:tx>
          <c:spPr>
            <a:solidFill>
              <a:schemeClr val="accent1"/>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FinPerf!$E$72:$K$72</c:f>
              <c:numCache>
                <c:formatCode>_-* #\ ##0_-;\-* #\ ##0_-;_-* "-"??_-;_-@_-</c:formatCode>
                <c:ptCount val="7"/>
                <c:pt idx="0">
                  <c:v>63466795</c:v>
                </c:pt>
                <c:pt idx="1">
                  <c:v>-60876670</c:v>
                </c:pt>
                <c:pt idx="2">
                  <c:v>-91023019</c:v>
                </c:pt>
                <c:pt idx="3">
                  <c:v>-95815994</c:v>
                </c:pt>
                <c:pt idx="4">
                  <c:v>260000122</c:v>
                </c:pt>
                <c:pt idx="5">
                  <c:v>414414038</c:v>
                </c:pt>
                <c:pt idx="6">
                  <c:v>440158145</c:v>
                </c:pt>
              </c:numCache>
            </c:numRef>
          </c:val>
          <c:extLst>
            <c:ext xmlns:c16="http://schemas.microsoft.com/office/drawing/2014/chart" uri="{C3380CC4-5D6E-409C-BE32-E72D297353CC}">
              <c16:uniqueId val="{00000000-4399-485D-B983-7C9528BE8338}"/>
            </c:ext>
          </c:extLst>
        </c:ser>
        <c:ser>
          <c:idx val="1"/>
          <c:order val="1"/>
          <c:tx>
            <c:strRef>
              <c:f>FinPerf!$D$73</c:f>
              <c:strCache>
                <c:ptCount val="1"/>
                <c:pt idx="0">
                  <c:v>Water</c:v>
                </c:pt>
              </c:strCache>
            </c:strRef>
          </c:tx>
          <c:spPr>
            <a:solidFill>
              <a:schemeClr val="accent2"/>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FinPerf!$E$73:$K$73</c:f>
              <c:numCache>
                <c:formatCode>_-* #\ ##0_-;\-* #\ ##0_-;_-* "-"??_-;_-@_-</c:formatCode>
                <c:ptCount val="7"/>
                <c:pt idx="0">
                  <c:v>-507271745</c:v>
                </c:pt>
                <c:pt idx="1">
                  <c:v>398091721</c:v>
                </c:pt>
                <c:pt idx="2">
                  <c:v>-88787158</c:v>
                </c:pt>
                <c:pt idx="3">
                  <c:v>161831492</c:v>
                </c:pt>
                <c:pt idx="4">
                  <c:v>-354259092</c:v>
                </c:pt>
                <c:pt idx="5">
                  <c:v>-288850548</c:v>
                </c:pt>
                <c:pt idx="6">
                  <c:v>-249567554</c:v>
                </c:pt>
              </c:numCache>
            </c:numRef>
          </c:val>
          <c:extLst>
            <c:ext xmlns:c16="http://schemas.microsoft.com/office/drawing/2014/chart" uri="{C3380CC4-5D6E-409C-BE32-E72D297353CC}">
              <c16:uniqueId val="{00000001-4399-485D-B983-7C9528BE8338}"/>
            </c:ext>
          </c:extLst>
        </c:ser>
        <c:ser>
          <c:idx val="2"/>
          <c:order val="2"/>
          <c:tx>
            <c:strRef>
              <c:f>FinPerf!$D$74</c:f>
              <c:strCache>
                <c:ptCount val="1"/>
                <c:pt idx="0">
                  <c:v>Sanitation</c:v>
                </c:pt>
              </c:strCache>
            </c:strRef>
          </c:tx>
          <c:spPr>
            <a:solidFill>
              <a:schemeClr val="accent3"/>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FinPerf!$E$74:$K$74</c:f>
              <c:numCache>
                <c:formatCode>_-* #\ ##0_-;\-* #\ ##0_-;_-* "-"??_-;_-@_-</c:formatCode>
                <c:ptCount val="7"/>
                <c:pt idx="0">
                  <c:v>-12906958</c:v>
                </c:pt>
                <c:pt idx="1">
                  <c:v>178262115</c:v>
                </c:pt>
                <c:pt idx="2">
                  <c:v>61987223</c:v>
                </c:pt>
                <c:pt idx="3">
                  <c:v>143253609</c:v>
                </c:pt>
                <c:pt idx="4">
                  <c:v>308640504</c:v>
                </c:pt>
                <c:pt idx="5">
                  <c:v>372299620</c:v>
                </c:pt>
                <c:pt idx="6">
                  <c:v>426132420</c:v>
                </c:pt>
              </c:numCache>
            </c:numRef>
          </c:val>
          <c:extLst>
            <c:ext xmlns:c16="http://schemas.microsoft.com/office/drawing/2014/chart" uri="{C3380CC4-5D6E-409C-BE32-E72D297353CC}">
              <c16:uniqueId val="{00000002-4399-485D-B983-7C9528BE8338}"/>
            </c:ext>
          </c:extLst>
        </c:ser>
        <c:ser>
          <c:idx val="3"/>
          <c:order val="3"/>
          <c:tx>
            <c:strRef>
              <c:f>FinPerf!$D$75</c:f>
              <c:strCache>
                <c:ptCount val="1"/>
                <c:pt idx="0">
                  <c:v>Refuse</c:v>
                </c:pt>
              </c:strCache>
            </c:strRef>
          </c:tx>
          <c:spPr>
            <a:solidFill>
              <a:schemeClr val="accent4"/>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FinPerf!$E$75:$K$75</c:f>
              <c:numCache>
                <c:formatCode>_-* #\ ##0_-;\-* #\ ##0_-;_-* "-"??_-;_-@_-</c:formatCode>
                <c:ptCount val="7"/>
                <c:pt idx="0">
                  <c:v>85589410</c:v>
                </c:pt>
                <c:pt idx="1">
                  <c:v>-217532917</c:v>
                </c:pt>
                <c:pt idx="2">
                  <c:v>126607623</c:v>
                </c:pt>
                <c:pt idx="3">
                  <c:v>-623409866</c:v>
                </c:pt>
                <c:pt idx="4">
                  <c:v>170160350</c:v>
                </c:pt>
                <c:pt idx="5">
                  <c:v>190776411</c:v>
                </c:pt>
                <c:pt idx="6">
                  <c:v>217605951</c:v>
                </c:pt>
              </c:numCache>
            </c:numRef>
          </c:val>
          <c:extLst>
            <c:ext xmlns:c16="http://schemas.microsoft.com/office/drawing/2014/chart" uri="{C3380CC4-5D6E-409C-BE32-E72D297353CC}">
              <c16:uniqueId val="{00000003-4399-485D-B983-7C9528BE8338}"/>
            </c:ext>
          </c:extLst>
        </c:ser>
        <c:ser>
          <c:idx val="4"/>
          <c:order val="4"/>
          <c:tx>
            <c:strRef>
              <c:f>FinPerf!$D$76</c:f>
              <c:strCache>
                <c:ptCount val="1"/>
                <c:pt idx="0">
                  <c:v>General</c:v>
                </c:pt>
              </c:strCache>
            </c:strRef>
          </c:tx>
          <c:spPr>
            <a:solidFill>
              <a:schemeClr val="accent5"/>
            </a:solidFill>
            <a:ln>
              <a:noFill/>
            </a:ln>
            <a:effectLst/>
          </c:spPr>
          <c:invertIfNegative val="0"/>
          <c:cat>
            <c:multiLvlStrRef>
              <c:f>FinPerf!$E$70:$K$71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FinPerf!$E$76:$K$76</c:f>
              <c:numCache>
                <c:formatCode>_-* #\ ##0_-;\-* #\ ##0_-;_-* "-"??_-;_-@_-</c:formatCode>
                <c:ptCount val="7"/>
                <c:pt idx="0">
                  <c:v>-582375390</c:v>
                </c:pt>
                <c:pt idx="1">
                  <c:v>-624741266</c:v>
                </c:pt>
                <c:pt idx="2">
                  <c:v>-875177718</c:v>
                </c:pt>
                <c:pt idx="3">
                  <c:v>-1253651830</c:v>
                </c:pt>
                <c:pt idx="4">
                  <c:v>-201032818</c:v>
                </c:pt>
                <c:pt idx="5">
                  <c:v>-268427941</c:v>
                </c:pt>
                <c:pt idx="6">
                  <c:v>-208452435</c:v>
                </c:pt>
              </c:numCache>
            </c:numRef>
          </c:val>
          <c:extLst>
            <c:ext xmlns:c16="http://schemas.microsoft.com/office/drawing/2014/chart" uri="{C3380CC4-5D6E-409C-BE32-E72D297353CC}">
              <c16:uniqueId val="{00000004-4399-485D-B983-7C9528BE8338}"/>
            </c:ext>
          </c:extLst>
        </c:ser>
        <c:dLbls>
          <c:showLegendKey val="0"/>
          <c:showVal val="0"/>
          <c:showCatName val="0"/>
          <c:showSerName val="0"/>
          <c:showPercent val="0"/>
          <c:showBubbleSize val="0"/>
        </c:dLbls>
        <c:gapWidth val="150"/>
        <c:overlap val="100"/>
        <c:axId val="153359800"/>
        <c:axId val="153362936"/>
      </c:barChart>
      <c:catAx>
        <c:axId val="15335980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362936"/>
        <c:crosses val="autoZero"/>
        <c:auto val="1"/>
        <c:lblAlgn val="ctr"/>
        <c:lblOffset val="100"/>
        <c:noMultiLvlLbl val="0"/>
      </c:catAx>
      <c:valAx>
        <c:axId val="15336293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35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Capital Expenditure - Funding Mix</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FinCapAcq!$D$48</c:f>
              <c:strCache>
                <c:ptCount val="1"/>
                <c:pt idx="0">
                  <c:v>Capital Grants</c:v>
                </c:pt>
              </c:strCache>
            </c:strRef>
          </c:tx>
          <c:spPr>
            <a:solidFill>
              <a:schemeClr val="accent1"/>
            </a:solidFill>
            <a:ln>
              <a:noFill/>
            </a:ln>
            <a:effectLst/>
          </c:spPr>
          <c:invertIfNegative val="0"/>
          <c:cat>
            <c:multiLvlStrRef>
              <c:f>FinCapAcq!$E$46:$I$47</c:f>
              <c:multiLvlStrCache>
                <c:ptCount val="5"/>
                <c:lvl>
                  <c:pt idx="0">
                    <c:v>Audited</c:v>
                  </c:pt>
                  <c:pt idx="1">
                    <c:v>Audited</c:v>
                  </c:pt>
                  <c:pt idx="2">
                    <c:v>Budget</c:v>
                  </c:pt>
                  <c:pt idx="3">
                    <c:v>Budget</c:v>
                  </c:pt>
                  <c:pt idx="4">
                    <c:v>Budget</c:v>
                  </c:pt>
                </c:lvl>
                <c:lvl>
                  <c:pt idx="0">
                    <c:v>2021</c:v>
                  </c:pt>
                  <c:pt idx="1">
                    <c:v>2022</c:v>
                  </c:pt>
                  <c:pt idx="2">
                    <c:v>2023</c:v>
                  </c:pt>
                  <c:pt idx="3">
                    <c:v>2024</c:v>
                  </c:pt>
                  <c:pt idx="4">
                    <c:v>2025</c:v>
                  </c:pt>
                </c:lvl>
              </c:multiLvlStrCache>
            </c:multiLvlStrRef>
          </c:cat>
          <c:val>
            <c:numRef>
              <c:f>FinCapAcq!$E$48:$I$48</c:f>
              <c:numCache>
                <c:formatCode>0%</c:formatCode>
                <c:ptCount val="5"/>
                <c:pt idx="0">
                  <c:v>0.96296267717147299</c:v>
                </c:pt>
                <c:pt idx="1">
                  <c:v>0.93273625922291703</c:v>
                </c:pt>
                <c:pt idx="2">
                  <c:v>0.60794928675246895</c:v>
                </c:pt>
                <c:pt idx="3">
                  <c:v>0.594487827167133</c:v>
                </c:pt>
                <c:pt idx="4">
                  <c:v>0.57383225294294404</c:v>
                </c:pt>
              </c:numCache>
            </c:numRef>
          </c:val>
          <c:extLst>
            <c:ext xmlns:c16="http://schemas.microsoft.com/office/drawing/2014/chart" uri="{C3380CC4-5D6E-409C-BE32-E72D297353CC}">
              <c16:uniqueId val="{00000000-B356-4119-95A6-D915A6299E59}"/>
            </c:ext>
          </c:extLst>
        </c:ser>
        <c:ser>
          <c:idx val="1"/>
          <c:order val="1"/>
          <c:tx>
            <c:strRef>
              <c:f>FinCapAcq!$D$49</c:f>
              <c:strCache>
                <c:ptCount val="1"/>
                <c:pt idx="0">
                  <c:v>Own Funding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FinCapAcq!$E$46:$I$47</c:f>
              <c:multiLvlStrCache>
                <c:ptCount val="5"/>
                <c:lvl>
                  <c:pt idx="0">
                    <c:v>Audited</c:v>
                  </c:pt>
                  <c:pt idx="1">
                    <c:v>Audited</c:v>
                  </c:pt>
                  <c:pt idx="2">
                    <c:v>Budget</c:v>
                  </c:pt>
                  <c:pt idx="3">
                    <c:v>Budget</c:v>
                  </c:pt>
                  <c:pt idx="4">
                    <c:v>Budget</c:v>
                  </c:pt>
                </c:lvl>
                <c:lvl>
                  <c:pt idx="0">
                    <c:v>2021</c:v>
                  </c:pt>
                  <c:pt idx="1">
                    <c:v>2022</c:v>
                  </c:pt>
                  <c:pt idx="2">
                    <c:v>2023</c:v>
                  </c:pt>
                  <c:pt idx="3">
                    <c:v>2024</c:v>
                  </c:pt>
                  <c:pt idx="4">
                    <c:v>2025</c:v>
                  </c:pt>
                </c:lvl>
              </c:multiLvlStrCache>
            </c:multiLvlStrRef>
          </c:cat>
          <c:val>
            <c:numRef>
              <c:f>FinCapAcq!$E$49:$I$49</c:f>
              <c:numCache>
                <c:formatCode>0%</c:formatCode>
                <c:ptCount val="5"/>
                <c:pt idx="0">
                  <c:v>3.7037322828526599E-2</c:v>
                </c:pt>
                <c:pt idx="1">
                  <c:v>6.7263740777082706E-2</c:v>
                </c:pt>
                <c:pt idx="2">
                  <c:v>0.39205071324753099</c:v>
                </c:pt>
                <c:pt idx="3">
                  <c:v>0.405512172832867</c:v>
                </c:pt>
                <c:pt idx="4">
                  <c:v>0.42616774705705601</c:v>
                </c:pt>
              </c:numCache>
            </c:numRef>
          </c:val>
          <c:extLst>
            <c:ext xmlns:c16="http://schemas.microsoft.com/office/drawing/2014/chart" uri="{C3380CC4-5D6E-409C-BE32-E72D297353CC}">
              <c16:uniqueId val="{00000001-B356-4119-95A6-D915A6299E59}"/>
            </c:ext>
          </c:extLst>
        </c:ser>
        <c:dLbls>
          <c:showLegendKey val="0"/>
          <c:showVal val="0"/>
          <c:showCatName val="0"/>
          <c:showSerName val="0"/>
          <c:showPercent val="0"/>
          <c:showBubbleSize val="0"/>
        </c:dLbls>
        <c:gapWidth val="150"/>
        <c:overlap val="100"/>
        <c:axId val="153362152"/>
        <c:axId val="66529096"/>
      </c:barChart>
      <c:catAx>
        <c:axId val="15336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6529096"/>
        <c:crosses val="autoZero"/>
        <c:auto val="1"/>
        <c:lblAlgn val="ctr"/>
        <c:lblOffset val="100"/>
        <c:noMultiLvlLbl val="0"/>
      </c:catAx>
      <c:valAx>
        <c:axId val="66529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5336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a:t>Collection</a:t>
            </a:r>
            <a:r>
              <a:rPr lang="en-ZA" baseline="0"/>
              <a:t> Ratio: Cash Flow Impact</a:t>
            </a:r>
            <a:endParaRPr lang="en-ZA"/>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FinPerf!$D$87</c:f>
              <c:strCache>
                <c:ptCount val="1"/>
                <c:pt idx="0">
                  <c:v>Cash Flow Impact</c:v>
                </c:pt>
              </c:strCache>
            </c:strRef>
          </c:tx>
          <c:spPr>
            <a:solidFill>
              <a:schemeClr val="accent1"/>
            </a:solidFill>
            <a:ln>
              <a:noFill/>
            </a:ln>
            <a:effectLst/>
          </c:spPr>
          <c:invertIfNegative val="0"/>
          <c:cat>
            <c:strRef>
              <c:f>FinPerf!$E$86:$G$86</c:f>
              <c:strCache>
                <c:ptCount val="3"/>
                <c:pt idx="0">
                  <c:v>2020</c:v>
                </c:pt>
                <c:pt idx="1">
                  <c:v>2021</c:v>
                </c:pt>
                <c:pt idx="2">
                  <c:v>2022</c:v>
                </c:pt>
              </c:strCache>
            </c:strRef>
          </c:cat>
          <c:val>
            <c:numRef>
              <c:f>FinPerf!$E$87:$G$87</c:f>
              <c:numCache>
                <c:formatCode>_-* #\ ##0_-;\-* #\ ##0_-;_-* "-"??_-;_-@_-</c:formatCode>
                <c:ptCount val="3"/>
                <c:pt idx="0">
                  <c:v>639088476.08759999</c:v>
                </c:pt>
                <c:pt idx="1">
                  <c:v>733425708.35679996</c:v>
                </c:pt>
                <c:pt idx="2">
                  <c:v>914095498.76600003</c:v>
                </c:pt>
              </c:numCache>
            </c:numRef>
          </c:val>
          <c:extLst>
            <c:ext xmlns:c16="http://schemas.microsoft.com/office/drawing/2014/chart" uri="{C3380CC4-5D6E-409C-BE32-E72D297353CC}">
              <c16:uniqueId val="{00000000-1605-429C-91A7-E6EF916F79AC}"/>
            </c:ext>
          </c:extLst>
        </c:ser>
        <c:dLbls>
          <c:showLegendKey val="0"/>
          <c:showVal val="0"/>
          <c:showCatName val="0"/>
          <c:showSerName val="0"/>
          <c:showPercent val="0"/>
          <c:showBubbleSize val="0"/>
        </c:dLbls>
        <c:gapWidth val="219"/>
        <c:overlap val="-27"/>
        <c:axId val="66527920"/>
        <c:axId val="66528312"/>
      </c:barChart>
      <c:lineChart>
        <c:grouping val="standard"/>
        <c:varyColors val="0"/>
        <c:ser>
          <c:idx val="1"/>
          <c:order val="1"/>
          <c:tx>
            <c:strRef>
              <c:f>FinPerf!$D$88</c:f>
              <c:strCache>
                <c:ptCount val="1"/>
                <c:pt idx="0">
                  <c:v>Collection Ratio</c:v>
                </c:pt>
              </c:strCache>
            </c:strRef>
          </c:tx>
          <c:spPr>
            <a:ln w="28575" cap="rnd">
              <a:solidFill>
                <a:schemeClr val="accent2"/>
              </a:solidFill>
              <a:round/>
            </a:ln>
            <a:effectLst/>
          </c:spPr>
          <c:marker>
            <c:symbol val="none"/>
          </c:marker>
          <c:cat>
            <c:strRef>
              <c:f>FinPerf!$E$86:$G$86</c:f>
              <c:strCache>
                <c:ptCount val="3"/>
                <c:pt idx="0">
                  <c:v>2020</c:v>
                </c:pt>
                <c:pt idx="1">
                  <c:v>2021</c:v>
                </c:pt>
                <c:pt idx="2">
                  <c:v>2022</c:v>
                </c:pt>
              </c:strCache>
            </c:strRef>
          </c:cat>
          <c:val>
            <c:numRef>
              <c:f>FinPerf!$E$88:$G$88</c:f>
              <c:numCache>
                <c:formatCode>0.00%</c:formatCode>
                <c:ptCount val="3"/>
                <c:pt idx="0">
                  <c:v>0.83120000000000005</c:v>
                </c:pt>
                <c:pt idx="1">
                  <c:v>0.81159999999999999</c:v>
                </c:pt>
                <c:pt idx="2">
                  <c:v>0.7944</c:v>
                </c:pt>
              </c:numCache>
            </c:numRef>
          </c:val>
          <c:smooth val="0"/>
          <c:extLst>
            <c:ext xmlns:c16="http://schemas.microsoft.com/office/drawing/2014/chart" uri="{C3380CC4-5D6E-409C-BE32-E72D297353CC}">
              <c16:uniqueId val="{00000001-1605-429C-91A7-E6EF916F79AC}"/>
            </c:ext>
          </c:extLst>
        </c:ser>
        <c:dLbls>
          <c:showLegendKey val="0"/>
          <c:showVal val="0"/>
          <c:showCatName val="0"/>
          <c:showSerName val="0"/>
          <c:showPercent val="0"/>
          <c:showBubbleSize val="0"/>
        </c:dLbls>
        <c:marker val="1"/>
        <c:smooth val="0"/>
        <c:axId val="531712432"/>
        <c:axId val="531715568"/>
      </c:lineChart>
      <c:catAx>
        <c:axId val="6652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6528312"/>
        <c:crosses val="autoZero"/>
        <c:auto val="1"/>
        <c:lblAlgn val="ctr"/>
        <c:lblOffset val="100"/>
        <c:noMultiLvlLbl val="0"/>
      </c:catAx>
      <c:valAx>
        <c:axId val="66528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6527920"/>
        <c:crosses val="autoZero"/>
        <c:crossBetween val="between"/>
      </c:valAx>
      <c:catAx>
        <c:axId val="531712432"/>
        <c:scaling>
          <c:orientation val="minMax"/>
        </c:scaling>
        <c:delete val="1"/>
        <c:axPos val="b"/>
        <c:numFmt formatCode="General" sourceLinked="1"/>
        <c:majorTickMark val="none"/>
        <c:minorTickMark val="none"/>
        <c:tickLblPos val="nextTo"/>
        <c:crossAx val="531715568"/>
        <c:crosses val="autoZero"/>
        <c:auto val="1"/>
        <c:lblAlgn val="ctr"/>
        <c:lblOffset val="100"/>
        <c:noMultiLvlLbl val="0"/>
      </c:catAx>
      <c:valAx>
        <c:axId val="5317155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3171243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ZA" sz="1400"/>
              <a:t>Contribution of Main Income Sources to Total Operating Income (Excl. Grants)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FinPerf!$D$62</c:f>
              <c:strCache>
                <c:ptCount val="1"/>
                <c:pt idx="0">
                  <c:v>Property rates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FinPerf!$E$62:$K$62</c:f>
              <c:numCache>
                <c:formatCode>0%</c:formatCode>
                <c:ptCount val="7"/>
                <c:pt idx="0">
                  <c:v>0.20024448851179599</c:v>
                </c:pt>
                <c:pt idx="1">
                  <c:v>0.21024037512494301</c:v>
                </c:pt>
                <c:pt idx="2">
                  <c:v>0.192166276741219</c:v>
                </c:pt>
                <c:pt idx="3">
                  <c:v>0.19721619580458</c:v>
                </c:pt>
                <c:pt idx="4">
                  <c:v>0.201646636151322</c:v>
                </c:pt>
                <c:pt idx="5">
                  <c:v>0.19889503117603399</c:v>
                </c:pt>
                <c:pt idx="6">
                  <c:v>0.201073078795835</c:v>
                </c:pt>
              </c:numCache>
            </c:numRef>
          </c:val>
          <c:extLst>
            <c:ext xmlns:c16="http://schemas.microsoft.com/office/drawing/2014/chart" uri="{C3380CC4-5D6E-409C-BE32-E72D297353CC}">
              <c16:uniqueId val="{00000000-1608-4B0B-91FE-AEAAA41D449F}"/>
            </c:ext>
          </c:extLst>
        </c:ser>
        <c:ser>
          <c:idx val="1"/>
          <c:order val="1"/>
          <c:tx>
            <c:strRef>
              <c:f>FinPerf!$D$63</c:f>
              <c:strCache>
                <c:ptCount val="1"/>
                <c:pt idx="0">
                  <c:v>Service charges - electricity revenue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FinPerf!$E$63:$K$63</c:f>
              <c:numCache>
                <c:formatCode>0%</c:formatCode>
                <c:ptCount val="7"/>
                <c:pt idx="0">
                  <c:v>0.41854233798899398</c:v>
                </c:pt>
                <c:pt idx="1">
                  <c:v>0.42824419259720398</c:v>
                </c:pt>
                <c:pt idx="2">
                  <c:v>0.42477801844830898</c:v>
                </c:pt>
                <c:pt idx="3">
                  <c:v>0.40875911436930101</c:v>
                </c:pt>
                <c:pt idx="4">
                  <c:v>0.45901791383121798</c:v>
                </c:pt>
                <c:pt idx="5">
                  <c:v>0.466406850182428</c:v>
                </c:pt>
                <c:pt idx="6">
                  <c:v>0.459191198621829</c:v>
                </c:pt>
              </c:numCache>
            </c:numRef>
          </c:val>
          <c:extLst>
            <c:ext xmlns:c16="http://schemas.microsoft.com/office/drawing/2014/chart" uri="{C3380CC4-5D6E-409C-BE32-E72D297353CC}">
              <c16:uniqueId val="{00000001-1608-4B0B-91FE-AEAAA41D449F}"/>
            </c:ext>
          </c:extLst>
        </c:ser>
        <c:ser>
          <c:idx val="2"/>
          <c:order val="2"/>
          <c:tx>
            <c:strRef>
              <c:f>FinPerf!$D$64</c:f>
              <c:strCache>
                <c:ptCount val="1"/>
                <c:pt idx="0">
                  <c:v>Service charges - water revenue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FinPerf!$E$64:$K$64</c:f>
              <c:numCache>
                <c:formatCode>0%</c:formatCode>
                <c:ptCount val="7"/>
                <c:pt idx="0">
                  <c:v>0.13204171792328101</c:v>
                </c:pt>
                <c:pt idx="1">
                  <c:v>0.131259851986539</c:v>
                </c:pt>
                <c:pt idx="2">
                  <c:v>0.159982824279395</c:v>
                </c:pt>
                <c:pt idx="3">
                  <c:v>0.15058821320458299</c:v>
                </c:pt>
                <c:pt idx="4">
                  <c:v>0.15705680890343601</c:v>
                </c:pt>
                <c:pt idx="5">
                  <c:v>0.155367383797056</c:v>
                </c:pt>
                <c:pt idx="6">
                  <c:v>0.15853937899373099</c:v>
                </c:pt>
              </c:numCache>
            </c:numRef>
          </c:val>
          <c:extLst>
            <c:ext xmlns:c16="http://schemas.microsoft.com/office/drawing/2014/chart" uri="{C3380CC4-5D6E-409C-BE32-E72D297353CC}">
              <c16:uniqueId val="{00000002-1608-4B0B-91FE-AEAAA41D449F}"/>
            </c:ext>
          </c:extLst>
        </c:ser>
        <c:ser>
          <c:idx val="3"/>
          <c:order val="3"/>
          <c:tx>
            <c:strRef>
              <c:f>FinPerf!$D$65</c:f>
              <c:strCache>
                <c:ptCount val="1"/>
                <c:pt idx="0">
                  <c:v>Service charges - sanitation revenue</c:v>
                </c:pt>
              </c:strCache>
            </c:strRef>
          </c:tx>
          <c:spPr>
            <a:solidFill>
              <a:schemeClr val="accent4"/>
            </a:solidFill>
            <a:ln>
              <a:noFill/>
            </a:ln>
            <a:effectLst/>
          </c:spPr>
          <c:invertIfNegative val="0"/>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FinPerf!$E$65:$K$65</c:f>
              <c:numCache>
                <c:formatCode>0%</c:formatCode>
                <c:ptCount val="7"/>
                <c:pt idx="0">
                  <c:v>5.3518062447683402E-2</c:v>
                </c:pt>
                <c:pt idx="1">
                  <c:v>5.6327543295190602E-2</c:v>
                </c:pt>
                <c:pt idx="2">
                  <c:v>5.5785215491109201E-2</c:v>
                </c:pt>
                <c:pt idx="3">
                  <c:v>5.6924605906725503E-2</c:v>
                </c:pt>
                <c:pt idx="4">
                  <c:v>7.0144028060015795E-2</c:v>
                </c:pt>
                <c:pt idx="5">
                  <c:v>6.9373256537776401E-2</c:v>
                </c:pt>
                <c:pt idx="6">
                  <c:v>7.0316878777562902E-2</c:v>
                </c:pt>
              </c:numCache>
            </c:numRef>
          </c:val>
          <c:extLst>
            <c:ext xmlns:c16="http://schemas.microsoft.com/office/drawing/2014/chart" uri="{C3380CC4-5D6E-409C-BE32-E72D297353CC}">
              <c16:uniqueId val="{00000003-1608-4B0B-91FE-AEAAA41D449F}"/>
            </c:ext>
          </c:extLst>
        </c:ser>
        <c:ser>
          <c:idx val="4"/>
          <c:order val="4"/>
          <c:tx>
            <c:strRef>
              <c:f>FinPerf!$D$66</c:f>
              <c:strCache>
                <c:ptCount val="1"/>
                <c:pt idx="0">
                  <c:v>Service charges - refuse revenue</c:v>
                </c:pt>
              </c:strCache>
            </c:strRef>
          </c:tx>
          <c:spPr>
            <a:solidFill>
              <a:schemeClr val="accent5"/>
            </a:solidFill>
            <a:ln>
              <a:noFill/>
            </a:ln>
            <a:effectLst/>
          </c:spPr>
          <c:invertIfNegative val="0"/>
          <c:cat>
            <c:multiLvlStrRef>
              <c:f>FinPerf!$E$60:$K$61</c:f>
              <c:multiLvlStrCache>
                <c:ptCount val="7"/>
                <c:lvl>
                  <c:pt idx="0">
                    <c:v>Audited</c:v>
                  </c:pt>
                  <c:pt idx="1">
                    <c:v>Audited</c:v>
                  </c:pt>
                  <c:pt idx="2">
                    <c:v>Audited</c:v>
                  </c:pt>
                  <c:pt idx="3">
                    <c:v>Audited</c:v>
                  </c:pt>
                  <c:pt idx="4">
                    <c:v>Budget</c:v>
                  </c:pt>
                  <c:pt idx="5">
                    <c:v>Budget</c:v>
                  </c:pt>
                  <c:pt idx="6">
                    <c:v>Budget</c:v>
                  </c:pt>
                </c:lvl>
                <c:lvl>
                  <c:pt idx="0">
                    <c:v>2019</c:v>
                  </c:pt>
                  <c:pt idx="1">
                    <c:v>2020</c:v>
                  </c:pt>
                  <c:pt idx="2">
                    <c:v>2021</c:v>
                  </c:pt>
                  <c:pt idx="3">
                    <c:v>2022</c:v>
                  </c:pt>
                  <c:pt idx="4">
                    <c:v>2023</c:v>
                  </c:pt>
                  <c:pt idx="5">
                    <c:v>2024</c:v>
                  </c:pt>
                  <c:pt idx="6">
                    <c:v>2025</c:v>
                  </c:pt>
                </c:lvl>
              </c:multiLvlStrCache>
            </c:multiLvlStrRef>
          </c:cat>
          <c:val>
            <c:numRef>
              <c:f>FinPerf!$E$66:$K$66</c:f>
              <c:numCache>
                <c:formatCode>0%</c:formatCode>
                <c:ptCount val="7"/>
                <c:pt idx="0">
                  <c:v>2.0004262688801001E-2</c:v>
                </c:pt>
                <c:pt idx="1">
                  <c:v>2.1207750863970001E-2</c:v>
                </c:pt>
                <c:pt idx="2">
                  <c:v>2.27631770496988E-2</c:v>
                </c:pt>
                <c:pt idx="3">
                  <c:v>2.1344061721118801E-2</c:v>
                </c:pt>
                <c:pt idx="4">
                  <c:v>2.4571745745193701E-2</c:v>
                </c:pt>
                <c:pt idx="5">
                  <c:v>2.4434138768233599E-2</c:v>
                </c:pt>
                <c:pt idx="6">
                  <c:v>2.50061621610328E-2</c:v>
                </c:pt>
              </c:numCache>
            </c:numRef>
          </c:val>
          <c:extLst>
            <c:ext xmlns:c16="http://schemas.microsoft.com/office/drawing/2014/chart" uri="{C3380CC4-5D6E-409C-BE32-E72D297353CC}">
              <c16:uniqueId val="{00000004-1608-4B0B-91FE-AEAAA41D449F}"/>
            </c:ext>
          </c:extLst>
        </c:ser>
        <c:dLbls>
          <c:showLegendKey val="0"/>
          <c:showVal val="0"/>
          <c:showCatName val="0"/>
          <c:showSerName val="0"/>
          <c:showPercent val="0"/>
          <c:showBubbleSize val="0"/>
        </c:dLbls>
        <c:gapWidth val="150"/>
        <c:overlap val="100"/>
        <c:axId val="531714000"/>
        <c:axId val="153217312"/>
      </c:barChart>
      <c:catAx>
        <c:axId val="53171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153217312"/>
        <c:crosses val="autoZero"/>
        <c:auto val="1"/>
        <c:lblAlgn val="ctr"/>
        <c:lblOffset val="100"/>
        <c:noMultiLvlLbl val="0"/>
      </c:catAx>
      <c:valAx>
        <c:axId val="15321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53171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f4963b6-439f-403f-8019-d6fd7d876c5e" xsi:nil="true"/>
    <lcf76f155ced4ddcb4097134ff3c332f xmlns="cef828a1-c828-4ff3-8035-c5a329e983e0">
      <Terms xmlns="http://schemas.microsoft.com/office/infopath/2007/PartnerControls"/>
    </lcf76f155ced4ddcb4097134ff3c332f>
    <SharedWithUsers xmlns="bf4963b6-439f-403f-8019-d6fd7d876c5e">
      <UserInfo>
        <DisplayName>Christiaan Swiegers</DisplayName>
        <AccountId>13</AccountId>
        <AccountType/>
      </UserInfo>
      <UserInfo>
        <DisplayName>Aditi Radhakrishna</DisplayName>
        <AccountId>10</AccountId>
        <AccountType/>
      </UserInfo>
      <UserInfo>
        <DisplayName>Trushil Rama</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6B7D7356BCF3409357AA3568191DE4" ma:contentTypeVersion="10" ma:contentTypeDescription="Create a new document." ma:contentTypeScope="" ma:versionID="fd1566abec21589c1a7969cd2ddd5b40">
  <xsd:schema xmlns:xsd="http://www.w3.org/2001/XMLSchema" xmlns:xs="http://www.w3.org/2001/XMLSchema" xmlns:p="http://schemas.microsoft.com/office/2006/metadata/properties" xmlns:ns2="cef828a1-c828-4ff3-8035-c5a329e983e0" xmlns:ns3="bf4963b6-439f-403f-8019-d6fd7d876c5e" targetNamespace="http://schemas.microsoft.com/office/2006/metadata/properties" ma:root="true" ma:fieldsID="0192d9e8b3719f16fd9ac3e02dd15065" ns2:_="" ns3:_="">
    <xsd:import namespace="cef828a1-c828-4ff3-8035-c5a329e983e0"/>
    <xsd:import namespace="bf4963b6-439f-403f-8019-d6fd7d876c5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828a1-c828-4ff3-8035-c5a329e983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b15af71-dab3-407e-9cc0-c9cca6dd975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4963b6-439f-403f-8019-d6fd7d876c5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48da764-b346-433e-8f12-09a240a86d86}" ma:internalName="TaxCatchAll" ma:showField="CatchAllData" ma:web="bf4963b6-439f-403f-8019-d6fd7d876c5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81617A-81D2-4153-B3F9-D8A9A5C39573}">
  <ds:schemaRefs>
    <ds:schemaRef ds:uri="http://schemas.openxmlformats.org/officeDocument/2006/bibliography"/>
  </ds:schemaRefs>
</ds:datastoreItem>
</file>

<file path=customXml/itemProps3.xml><?xml version="1.0" encoding="utf-8"?>
<ds:datastoreItem xmlns:ds="http://schemas.openxmlformats.org/officeDocument/2006/customXml" ds:itemID="{35D561C5-10F9-45FB-9B75-B7406DDC1BFC}">
  <ds:schemaRefs>
    <ds:schemaRef ds:uri="http://schemas.microsoft.com/office/2006/metadata/properties"/>
    <ds:schemaRef ds:uri="http://schemas.microsoft.com/office/infopath/2007/PartnerControls"/>
    <ds:schemaRef ds:uri="bf4963b6-439f-403f-8019-d6fd7d876c5e"/>
    <ds:schemaRef ds:uri="cef828a1-c828-4ff3-8035-c5a329e983e0"/>
  </ds:schemaRefs>
</ds:datastoreItem>
</file>

<file path=customXml/itemProps4.xml><?xml version="1.0" encoding="utf-8"?>
<ds:datastoreItem xmlns:ds="http://schemas.openxmlformats.org/officeDocument/2006/customXml" ds:itemID="{11605102-67F1-4D64-86B2-E202B3E3C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828a1-c828-4ff3-8035-c5a329e983e0"/>
    <ds:schemaRef ds:uri="bf4963b6-439f-403f-8019-d6fd7d876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5627FD-B2B5-4FF2-AB7F-F61EE84854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24009</Words>
  <Characters>136854</Characters>
  <Application>Microsoft Office Word</Application>
  <DocSecurity>4</DocSecurity>
  <Lines>1140</Lines>
  <Paragraphs>321</Paragraphs>
  <ScaleCrop>false</ScaleCrop>
  <Company>home</Company>
  <LinksUpToDate>false</LinksUpToDate>
  <CharactersWithSpaces>160542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Aneel Radhakrishna</dc:creator>
  <cp:lastModifiedBy>Rina Mamatela</cp:lastModifiedBy>
  <cp:revision>2</cp:revision>
  <cp:lastPrinted>2023-04-20T13:34:00Z</cp:lastPrinted>
  <dcterms:created xsi:type="dcterms:W3CDTF">2023-06-19T14:11:00Z</dcterms:created>
  <dcterms:modified xsi:type="dcterms:W3CDTF">2023-06-19T14:11:00Z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0x010100696B7D7356BCF3409357AA3568191DE4</vt:lpwstr>
  </property>
  <property fmtid="{D5CDD505-2E9C-101B-9397-08002B2CF9AE}" pid="3" name="MediaServiceImageTags">
    <vt:lpwstr/>
  </property>
  <property fmtid="{D5CDD505-2E9C-101B-9397-08002B2CF9AE}" pid="4" name="GrammarlyDocumentId">
    <vt:lpwstr>d099f5cf080cef97393c06970c52cd258f7ca17d8f61c43080ba1b52a857374a</vt:lpwstr>
  </property>
  <property fmtid="{D5CDD505-2E9C-101B-9397-08002B2CF9AE}" pid="5" name="KSOProductBuildVer">
    <vt:lpwstr>1033-11.2.0.11219</vt:lpwstr>
  </property>
  <property fmtid="{D5CDD505-2E9C-101B-9397-08002B2CF9AE}" pid="6" name="ICV">
    <vt:lpwstr>F75295C0106643AF8E2A6F69C917D299</vt:lpwstr>
  </property>
</Properties>
</file>