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eastAsiaTheme="majorEastAsia" w:hAnsi="Arial Narrow" w:cstheme="majorBidi"/>
          <w:sz w:val="18"/>
          <w:szCs w:val="18"/>
        </w:rPr>
        <w:id w:val="-247808644"/>
        <w:docPartObj>
          <w:docPartGallery w:val="Cover Pages"/>
          <w:docPartUnique/>
        </w:docPartObj>
      </w:sdtPr>
      <w:sdtEndPr>
        <w:rPr>
          <w:rFonts w:eastAsia="Times New Roman" w:cs="Arial"/>
        </w:rPr>
      </w:sdtEndPr>
      <w:sdtContent>
        <w:p w14:paraId="0A1D9C08" w14:textId="77777777" w:rsidR="000C3B2F" w:rsidRPr="001C481F" w:rsidRDefault="001C481F" w:rsidP="000C3B2F">
          <w:pPr>
            <w:pStyle w:val="NoSpacing"/>
            <w:jc w:val="right"/>
            <w:rPr>
              <w:rFonts w:ascii="Arial Narrow" w:eastAsiaTheme="majorEastAsia" w:hAnsi="Arial Narrow" w:cs="Arial"/>
              <w:sz w:val="56"/>
              <w:szCs w:val="56"/>
            </w:rPr>
          </w:pPr>
          <w:r w:rsidRPr="001C481F">
            <w:rPr>
              <w:rFonts w:ascii="Arial Narrow" w:hAnsi="Arial Narrow"/>
              <w:noProof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878400" behindDoc="0" locked="0" layoutInCell="0" allowOverlap="1" wp14:anchorId="0579C9AF" wp14:editId="2C3AEFCE">
                    <wp:simplePos x="0" y="0"/>
                    <wp:positionH relativeFrom="page">
                      <wp:posOffset>-247650</wp:posOffset>
                    </wp:positionH>
                    <wp:positionV relativeFrom="topMargin">
                      <wp:posOffset>0</wp:posOffset>
                    </wp:positionV>
                    <wp:extent cx="10296525" cy="822960"/>
                    <wp:effectExtent l="0" t="0" r="28575" b="1905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96525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1551128C" id="Rectangle 3" o:spid="_x0000_s1026" style="position:absolute;margin-left:-19.5pt;margin-top:0;width:810.75pt;height:64.8pt;z-index:251878400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" o:allowincell="f" fillcolor="#9bbb59 [3206]" strokecolor="#4f81bd [3204]">
                    <w10:wrap anchorx="page" anchory="margin"/>
                  </v:rect>
                </w:pict>
              </mc:Fallback>
            </mc:AlternateContent>
          </w:r>
          <w:r w:rsidR="000C3B2F" w:rsidRPr="001C481F">
            <w:rPr>
              <w:rFonts w:ascii="Arial Narrow" w:eastAsiaTheme="majorEastAsia" w:hAnsi="Arial Narrow" w:cs="Arial"/>
              <w:sz w:val="56"/>
              <w:szCs w:val="56"/>
            </w:rPr>
            <w:t>Annexure C</w:t>
          </w:r>
        </w:p>
        <w:p w14:paraId="2CF798C1" w14:textId="77777777" w:rsidR="000C3B2F" w:rsidRPr="00AA5547" w:rsidRDefault="000C3B2F" w:rsidP="000C3B2F">
          <w:pPr>
            <w:pStyle w:val="NoSpacing"/>
            <w:jc w:val="center"/>
            <w:rPr>
              <w:rFonts w:ascii="Arial Narrow" w:eastAsiaTheme="majorEastAsia" w:hAnsi="Arial Narrow" w:cstheme="majorBidi"/>
              <w:sz w:val="18"/>
              <w:szCs w:val="18"/>
            </w:rPr>
          </w:pPr>
        </w:p>
        <w:p w14:paraId="31ABE048" w14:textId="77777777" w:rsidR="000C3B2F" w:rsidRPr="00AA5547" w:rsidRDefault="00153DBA" w:rsidP="000C3B2F">
          <w:pPr>
            <w:pStyle w:val="NoSpacing"/>
            <w:jc w:val="center"/>
            <w:rPr>
              <w:rFonts w:ascii="Arial Narrow" w:eastAsiaTheme="majorEastAsia" w:hAnsi="Arial Narrow" w:cstheme="majorBidi"/>
              <w:sz w:val="18"/>
              <w:szCs w:val="18"/>
            </w:rPr>
          </w:pP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C0E7246" wp14:editId="0142C95D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758F0DE0" id="Rectangle 5" o:spid="_x0000_s1026" style="position:absolute;margin-left:0;margin-top:0;width:7.15pt;height:831.2pt;z-index:25165721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546624" behindDoc="0" locked="0" layoutInCell="0" allowOverlap="1" wp14:anchorId="7A33B7D8" wp14:editId="2D20C91D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1DEDFA84" id="Rectangle 4" o:spid="_x0000_s1026" style="position:absolute;margin-left:0;margin-top:0;width:7.15pt;height:831.2pt;z-index:25154662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436032" behindDoc="0" locked="0" layoutInCell="0" allowOverlap="1" wp14:anchorId="5DD03546" wp14:editId="1798B32C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11AD04FA" id="Rectangle 3" o:spid="_x0000_s1026" style="position:absolute;margin-left:0;margin-top:0;width:642.6pt;height:64.8pt;z-index:2514360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Arial Narrow" w:eastAsiaTheme="majorEastAsia" w:hAnsi="Arial Narrow" w:cstheme="majorBidi"/>
              <w:sz w:val="18"/>
              <w:szCs w:val="18"/>
            </w:rPr>
            <w:id w:val="-1213732665"/>
            <w:docPartObj>
              <w:docPartGallery w:val="Cover Pages"/>
              <w:docPartUnique/>
            </w:docPartObj>
          </w:sdtPr>
          <w:sdtEndPr>
            <w:rPr>
              <w:rFonts w:eastAsiaTheme="minorEastAsia" w:cstheme="minorBidi"/>
              <w:b/>
              <w:sz w:val="48"/>
              <w:szCs w:val="48"/>
            </w:rPr>
          </w:sdtEndPr>
          <w:sdtContent>
            <w:p w14:paraId="29C7FE87" w14:textId="77777777" w:rsidR="00153DBA" w:rsidRPr="00AA5547" w:rsidRDefault="001F77AE" w:rsidP="000C3B2F">
              <w:pPr>
                <w:pStyle w:val="NoSpacing"/>
                <w:jc w:val="center"/>
                <w:rPr>
                  <w:rFonts w:ascii="Arial Narrow" w:eastAsiaTheme="majorEastAsia" w:hAnsi="Arial Narrow" w:cstheme="majorBidi"/>
                  <w:sz w:val="18"/>
                  <w:szCs w:val="18"/>
                </w:rPr>
              </w:pPr>
              <w:r w:rsidRPr="00AA5547">
                <w:rPr>
                  <w:rFonts w:ascii="Arial Narrow" w:hAnsi="Arial Narrow"/>
                  <w:noProof/>
                  <w:sz w:val="18"/>
                  <w:szCs w:val="18"/>
                </w:rPr>
                <w:drawing>
                  <wp:inline distT="0" distB="0" distL="0" distR="0" wp14:anchorId="581E524F" wp14:editId="1E488ACD">
                    <wp:extent cx="1276350" cy="1619250"/>
                    <wp:effectExtent l="0" t="0" r="0" b="0"/>
                    <wp:docPr id="5" name="Picture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8093" cy="16214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14:paraId="787C48BF" w14:textId="77777777" w:rsidR="00153DBA" w:rsidRPr="00AA5547" w:rsidRDefault="00153DBA" w:rsidP="00153DBA">
              <w:pPr>
                <w:pStyle w:val="NoSpacing"/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</w:pPr>
              <w:r w:rsidRPr="00AA5547">
                <w:rPr>
                  <w:rFonts w:ascii="Arial Narrow" w:hAnsi="Arial Narrow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2099584" behindDoc="0" locked="0" layoutInCell="0" allowOverlap="1" wp14:anchorId="600195BD" wp14:editId="37DA6780">
                        <wp:simplePos x="0" y="0"/>
                        <wp:positionH relativeFrom="lef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90805" cy="10556240"/>
                        <wp:effectExtent l="0" t="0" r="4445" b="5080"/>
                        <wp:wrapNone/>
                        <wp:docPr id="12" name="Rectang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805" cy="1055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105000</wp14:pctHeight>
                        </wp14:sizeRelV>
                      </wp:anchor>
                    </w:drawing>
                  </mc:Choice>
                  <mc:Fallback xmlns:w16du="http://schemas.microsoft.com/office/word/2023/wordml/word16du">
                    <w:pict>
                      <v:rect w14:anchorId="07E2A324" id="Rectangle 5" o:spid="_x0000_s1026" style="position:absolute;margin-left:0;margin-top:0;width:7.15pt;height:831.2pt;z-index:25209958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    <w10:wrap anchorx="margin" anchory="page"/>
                      </v:rect>
                    </w:pict>
                  </mc:Fallback>
                </mc:AlternateContent>
              </w:r>
              <w:r w:rsidRPr="00AA5547">
                <w:rPr>
                  <w:rFonts w:ascii="Arial Narrow" w:hAnsi="Arial Narrow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988992" behindDoc="0" locked="0" layoutInCell="0" allowOverlap="1" wp14:anchorId="50C16C4C" wp14:editId="27646E70">
                        <wp:simplePos x="0" y="0"/>
                        <wp:positionH relativeFrom="righ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90805" cy="10556240"/>
                        <wp:effectExtent l="0" t="0" r="4445" b="5080"/>
                        <wp:wrapNone/>
                        <wp:docPr id="13" name="Rectangl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805" cy="1055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105000</wp14:pctHeight>
                        </wp14:sizeRelV>
                      </wp:anchor>
                    </w:drawing>
                  </mc:Choice>
                  <mc:Fallback xmlns:w16du="http://schemas.microsoft.com/office/word/2023/wordml/word16du">
                    <w:pict>
                      <v:rect w14:anchorId="5513DB11" id="Rectangle 4" o:spid="_x0000_s1026" style="position:absolute;margin-left:0;margin-top:0;width:7.15pt;height:831.2pt;z-index:25198899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    <w10:wrap anchorx="margin" anchory="page"/>
                      </v:rect>
                    </w:pict>
                  </mc:Fallback>
                </mc:AlternateContent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1C481F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>___________________________________________</w:t>
              </w:r>
            </w:p>
            <w:p w14:paraId="52FFC112" w14:textId="456BC700" w:rsidR="00153DBA" w:rsidRPr="001C481F" w:rsidRDefault="000C3B2F" w:rsidP="00153DBA">
              <w:pPr>
                <w:pStyle w:val="NoSpacing"/>
                <w:jc w:val="center"/>
                <w:rPr>
                  <w:rFonts w:ascii="Arial Narrow" w:eastAsiaTheme="majorEastAsia" w:hAnsi="Arial Narrow" w:cstheme="majorBidi"/>
                  <w:b/>
                  <w:sz w:val="48"/>
                  <w:szCs w:val="48"/>
                </w:rPr>
              </w:pPr>
              <w:r w:rsidRPr="001C481F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Pol</w:t>
              </w:r>
              <w:r w:rsidR="00207F77" w:rsidRPr="001C481F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i</w:t>
              </w:r>
              <w:r w:rsidR="007A19FB" w:rsidRPr="001C481F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cies Amendments Register – 20</w:t>
              </w:r>
              <w:r w:rsidR="00FE12C7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2</w:t>
              </w:r>
              <w:r w:rsidR="00214269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3</w:t>
              </w:r>
              <w:r w:rsidR="00FE12C7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/2</w:t>
              </w:r>
              <w:r w:rsidR="00214269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4</w:t>
              </w:r>
            </w:p>
          </w:sdtContent>
        </w:sdt>
        <w:p w14:paraId="389EA8C8" w14:textId="77777777" w:rsidR="00153DBA" w:rsidRPr="00AA5547" w:rsidRDefault="00153DBA" w:rsidP="00153DBA">
          <w:pPr>
            <w:spacing w:line="360" w:lineRule="auto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9BDC0F2" w14:textId="77777777" w:rsidR="00153DBA" w:rsidRPr="00AA5547" w:rsidRDefault="00153DBA" w:rsidP="00153DBA">
          <w:pPr>
            <w:spacing w:line="360" w:lineRule="auto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F9FD7E9" w14:textId="77777777" w:rsidR="00153DBA" w:rsidRPr="00AA5547" w:rsidRDefault="00153DBA" w:rsidP="00153DBA">
          <w:pPr>
            <w:tabs>
              <w:tab w:val="left" w:pos="3135"/>
            </w:tabs>
            <w:spacing w:line="360" w:lineRule="auto"/>
            <w:jc w:val="both"/>
            <w:rPr>
              <w:rFonts w:ascii="Arial Narrow" w:hAnsi="Arial Narrow" w:cs="Arial"/>
              <w:b/>
              <w:sz w:val="18"/>
              <w:szCs w:val="18"/>
            </w:rPr>
          </w:pPr>
          <w:r w:rsidRPr="00AA5547">
            <w:rPr>
              <w:rFonts w:ascii="Arial Narrow" w:hAnsi="Arial Narrow" w:cs="Arial"/>
              <w:b/>
              <w:sz w:val="18"/>
              <w:szCs w:val="18"/>
            </w:rPr>
            <w:tab/>
          </w:r>
        </w:p>
        <w:p w14:paraId="722AD0DF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6F9BE2EF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A5DE8A1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0FB2416E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484E3BD" w14:textId="77777777" w:rsidR="00153DBA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921AE24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C2264CE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2E8228D9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265E9E4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2ACAC099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F4B6F38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BF695AE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DD901FC" w14:textId="77777777" w:rsidR="0043102D" w:rsidRPr="00AA5547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192E0F38" w14:textId="77777777" w:rsidR="00153DBA" w:rsidRPr="00AA5547" w:rsidRDefault="001C481F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767808" behindDoc="0" locked="0" layoutInCell="0" allowOverlap="1" wp14:anchorId="52ED7576" wp14:editId="7AC0013C">
                    <wp:simplePos x="0" y="0"/>
                    <wp:positionH relativeFrom="page">
                      <wp:posOffset>-247650</wp:posOffset>
                    </wp:positionH>
                    <wp:positionV relativeFrom="page">
                      <wp:posOffset>7286625</wp:posOffset>
                    </wp:positionV>
                    <wp:extent cx="10458450" cy="762000"/>
                    <wp:effectExtent l="0" t="0" r="19050" b="19050"/>
                    <wp:wrapNone/>
                    <wp:docPr id="1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58450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3428BDA0" id="Rectangle 2" o:spid="_x0000_s1026" style="position:absolute;margin-left:-19.5pt;margin-top:573.75pt;width:823.5pt;height:60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" o:allowincell="f" fillcolor="#9bbb59 [3206]" strokecolor="#4f81bd [3204]">
                    <w10:wrap anchorx="page" anchory="page"/>
                  </v:rect>
                </w:pict>
              </mc:Fallback>
            </mc:AlternateContent>
          </w:r>
        </w:p>
        <w:tbl>
          <w:tblPr>
            <w:tblW w:w="14743" w:type="dxa"/>
            <w:tblInd w:w="-8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586"/>
            <w:gridCol w:w="1244"/>
            <w:gridCol w:w="5647"/>
            <w:gridCol w:w="4361"/>
            <w:gridCol w:w="905"/>
          </w:tblGrid>
          <w:tr w:rsidR="004839B6" w:rsidRPr="00AA5547" w14:paraId="1EB896DB" w14:textId="77777777" w:rsidTr="005661B0">
            <w:tc>
              <w:tcPr>
                <w:tcW w:w="2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BBB59"/>
              </w:tcPr>
              <w:p w14:paraId="170A95B0" w14:textId="77777777" w:rsidR="004839B6" w:rsidRPr="00AA5547" w:rsidRDefault="004839B6" w:rsidP="00D14AA4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0C1D3936" w14:textId="77777777" w:rsidR="004839B6" w:rsidRPr="00AA5547" w:rsidRDefault="004839B6" w:rsidP="00D14AA4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AA5547">
                  <w:rPr>
                    <w:rFonts w:ascii="Arial Narrow" w:hAnsi="Arial Narrow"/>
                    <w:b/>
                    <w:sz w:val="18"/>
                    <w:szCs w:val="18"/>
                  </w:rPr>
                  <w:t>POLICY / PROCEDURE NAME</w:t>
                </w:r>
              </w:p>
              <w:p w14:paraId="58288FE7" w14:textId="77777777" w:rsidR="004839B6" w:rsidRPr="00AA5547" w:rsidRDefault="004839B6" w:rsidP="00D14AA4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</w:tc>
            <w:tc>
              <w:tcPr>
                <w:tcW w:w="121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241EA5" w14:textId="31EAAAD9" w:rsidR="004839B6" w:rsidRPr="00BD652E" w:rsidRDefault="00B85EDB" w:rsidP="00D14AA4">
                <w:pPr>
                  <w:rPr>
                    <w:rFonts w:ascii="Arial Narrow" w:hAnsi="Arial Narrow"/>
                    <w:b/>
                  </w:rPr>
                </w:pPr>
                <w:r w:rsidRPr="00BD652E">
                  <w:rPr>
                    <w:rFonts w:ascii="Arial Narrow" w:hAnsi="Arial Narrow"/>
                    <w:b/>
                  </w:rPr>
                  <w:t>Credit Control and Debt Collection Policy</w:t>
                </w:r>
              </w:p>
            </w:tc>
          </w:tr>
          <w:tr w:rsidR="004839B6" w:rsidRPr="00AA5547" w14:paraId="3F24A8B5" w14:textId="77777777" w:rsidTr="005661B0">
            <w:tc>
              <w:tcPr>
                <w:tcW w:w="2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2A800D27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0D85507C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5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4E6D6B2E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43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56B59E26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9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1080FADD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tr w:rsidR="004839B6" w:rsidRPr="004E40B8" w14:paraId="11312E26" w14:textId="77777777" w:rsidTr="005661B0">
            <w:trPr>
              <w:trHeight w:val="967"/>
            </w:trPr>
            <w:tc>
              <w:tcPr>
                <w:tcW w:w="2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68F8F9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14:paraId="622464C3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SUMMARY OF ISSUE</w:t>
                </w:r>
              </w:p>
            </w:tc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3A73DE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REF.NO (Par. in policy / procedure)</w:t>
                </w:r>
              </w:p>
            </w:tc>
            <w:tc>
              <w:tcPr>
                <w:tcW w:w="5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7BDC1F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14:paraId="24B86E40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PROPOSED AMENDMENT / CHANGE</w:t>
                </w:r>
              </w:p>
            </w:tc>
            <w:tc>
              <w:tcPr>
                <w:tcW w:w="43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6A50AF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14:paraId="53A635B2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 xml:space="preserve">SOURCE DETAILS </w:t>
                </w:r>
                <w:r w:rsidRPr="004E40B8">
                  <w:rPr>
                    <w:rFonts w:ascii="Arial Narrow" w:hAnsi="Arial Narrow"/>
                    <w:b/>
                    <w:bCs/>
                  </w:rPr>
                  <w:t>(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</w:rPr>
                  <w:t>e.g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</w:rPr>
                  <w:t xml:space="preserve"> Legislation, regulation, 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</w:rPr>
                  <w:t>etc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</w:rPr>
                  <w:t>)</w:t>
                </w:r>
              </w:p>
            </w:tc>
            <w:tc>
              <w:tcPr>
                <w:tcW w:w="9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66CBA0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  <w:bCs/>
                  </w:rPr>
                </w:pPr>
              </w:p>
              <w:p w14:paraId="449E8A6C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  <w:bCs/>
                  </w:rPr>
                  <w:t>Priority / Risk</w:t>
                </w:r>
              </w:p>
            </w:tc>
          </w:tr>
          <w:tr w:rsidR="004839B6" w:rsidRPr="004E40B8" w14:paraId="07D18A71" w14:textId="77777777" w:rsidTr="005661B0">
            <w:trPr>
              <w:trHeight w:val="587"/>
            </w:trPr>
            <w:tc>
              <w:tcPr>
                <w:tcW w:w="2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C42446" w14:textId="503D8373" w:rsidR="004839B6" w:rsidRPr="004E40B8" w:rsidRDefault="00B85EDB" w:rsidP="004E40B8">
                <w:pPr>
                  <w:pStyle w:val="BodyTextIndent"/>
                  <w:spacing w:after="0" w:line="360" w:lineRule="auto"/>
                  <w:ind w:left="0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Interest – Alignment to Municipality’s Credit Control and Debt Collection Policy.</w:t>
                </w:r>
              </w:p>
            </w:tc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B05B4F" w14:textId="15F1A1D7" w:rsidR="004839B6" w:rsidRPr="004E40B8" w:rsidRDefault="00FE12C7" w:rsidP="004E40B8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Section </w:t>
                </w:r>
                <w:r w:rsidR="00B85EDB" w:rsidRPr="004E40B8">
                  <w:rPr>
                    <w:rFonts w:ascii="Arial Narrow" w:hAnsi="Arial Narrow"/>
                    <w:sz w:val="20"/>
                    <w:szCs w:val="20"/>
                  </w:rPr>
                  <w:t>13</w:t>
                </w:r>
              </w:p>
            </w:tc>
            <w:tc>
              <w:tcPr>
                <w:tcW w:w="5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B93B5E" w14:textId="1973B505" w:rsidR="00EB0874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 xml:space="preserve">Amendment of </w:t>
                </w:r>
                <w:r w:rsidR="00B85EDB"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Section 13 of the Policy.</w:t>
                </w:r>
              </w:p>
              <w:p w14:paraId="06F437BE" w14:textId="77777777" w:rsidR="00B85EDB" w:rsidRPr="004E40B8" w:rsidRDefault="00B85EDB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  <w:p w14:paraId="63B119E5" w14:textId="421F1964" w:rsidR="00FE12C7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Proposed amendment:</w:t>
                </w:r>
              </w:p>
              <w:p w14:paraId="3E1DFA27" w14:textId="77777777" w:rsidR="00FE12C7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</w:p>
              <w:p w14:paraId="2FBF9EFD" w14:textId="26A4A923" w:rsidR="00B85EDB" w:rsidRPr="004E40B8" w:rsidRDefault="00B85EDB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The Auditor General raised a finding that not all </w:t>
                </w:r>
                <w:r w:rsidR="00A701A1"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charges</w:t>
                </w: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 are levied interest as per GRAP statement on interest. Alignment of the interest paragraphs with the Municipality’s Credit and Debt Collection Policy as per the Municipal Systems Act.</w:t>
                </w:r>
              </w:p>
              <w:p w14:paraId="7C8F3812" w14:textId="1D6702A7" w:rsidR="00B85EDB" w:rsidRPr="004E40B8" w:rsidRDefault="00B85EDB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  <w:p w14:paraId="2D2C7D74" w14:textId="77777777" w:rsidR="00B85EDB" w:rsidRPr="004E40B8" w:rsidRDefault="00B85EDB" w:rsidP="004E40B8">
                <w:pPr>
                  <w:numPr>
                    <w:ilvl w:val="0"/>
                    <w:numId w:val="16"/>
                  </w:numPr>
                  <w:tabs>
                    <w:tab w:val="clear" w:pos="1800"/>
                    <w:tab w:val="left" w:pos="1260"/>
                    <w:tab w:val="num" w:pos="1296"/>
                    <w:tab w:val="left" w:pos="2268"/>
                    <w:tab w:val="left" w:pos="2835"/>
                  </w:tabs>
                  <w:spacing w:after="240" w:line="360" w:lineRule="auto"/>
                  <w:ind w:left="1296" w:hanging="72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Interest may only be reversed in the following circumstances: -</w:t>
                </w:r>
              </w:p>
              <w:p w14:paraId="1ED590AD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Exemptions as determined by Council from time to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time;</w:t>
                </w:r>
                <w:proofErr w:type="gramEnd"/>
              </w:p>
              <w:p w14:paraId="021C05E8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If the entity has made an administrative error on the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account;</w:t>
                </w:r>
                <w:proofErr w:type="gramEnd"/>
              </w:p>
              <w:p w14:paraId="081B4C95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Where any debt has arisen as a result of a faulty meter of the entity or the entity has applied an incorrect charge, meter factor or tariff due to an administrative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error;</w:t>
                </w:r>
                <w:proofErr w:type="gramEnd"/>
              </w:p>
              <w:p w14:paraId="6E0DE90E" w14:textId="3897729E" w:rsidR="00A701A1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autoSpaceDE w:val="0"/>
                  <w:autoSpaceDN w:val="0"/>
                  <w:adjustRightInd w:val="0"/>
                  <w:spacing w:after="240"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lastRenderedPageBreak/>
                  <w:t xml:space="preserve">Where indicated as such by any clause as part of this policy or another policy of the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entity;</w:t>
                </w:r>
                <w:proofErr w:type="gramEnd"/>
              </w:p>
              <w:p w14:paraId="6CC50195" w14:textId="796A0CAF" w:rsidR="00B85EDB" w:rsidRPr="004E40B8" w:rsidRDefault="00B85EDB" w:rsidP="004E40B8">
                <w:pPr>
                  <w:numPr>
                    <w:ilvl w:val="0"/>
                    <w:numId w:val="16"/>
                  </w:numPr>
                  <w:tabs>
                    <w:tab w:val="clear" w:pos="1800"/>
                    <w:tab w:val="left" w:pos="1260"/>
                    <w:tab w:val="num" w:pos="1296"/>
                    <w:tab w:val="left" w:pos="2268"/>
                    <w:tab w:val="left" w:pos="2835"/>
                  </w:tabs>
                  <w:spacing w:after="240" w:line="360" w:lineRule="auto"/>
                  <w:ind w:left="1296" w:hanging="72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Interest shall be charged on all overdue accounts (interest will be charged at prime +1% on all accounts older than 30 days calculated from the last transaction date). Interest shall be levied on all accounts and services except for the following categories:</w:t>
                </w:r>
              </w:p>
              <w:p w14:paraId="5CDAA7E4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All selected government accounts except for Public Entities where interest will be charged on outstanding accounts.</w:t>
                </w:r>
              </w:p>
              <w:p w14:paraId="01ABC34A" w14:textId="4B67ABEC" w:rsidR="00FE12C7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43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5D30F5" w14:textId="7475904E" w:rsidR="00814284" w:rsidRPr="004E40B8" w:rsidRDefault="00A701A1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lastRenderedPageBreak/>
                  <w:t>Local Government Municipal Systems Act, 2000 – Chapter 9</w:t>
                </w:r>
              </w:p>
              <w:p w14:paraId="356F9C57" w14:textId="766E7519" w:rsidR="00814284" w:rsidRPr="004E40B8" w:rsidRDefault="00814284" w:rsidP="004E40B8">
                <w:pPr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9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CD80C4" w14:textId="4B7879BC" w:rsidR="004839B6" w:rsidRPr="004E40B8" w:rsidRDefault="00FE12C7" w:rsidP="004E40B8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Priority</w:t>
                </w:r>
              </w:p>
            </w:tc>
          </w:tr>
        </w:tbl>
        <w:p w14:paraId="0429E7C6" w14:textId="77777777" w:rsidR="00153DBA" w:rsidRPr="004E40B8" w:rsidRDefault="00153DBA" w:rsidP="004E40B8">
          <w:pPr>
            <w:spacing w:line="360" w:lineRule="auto"/>
            <w:ind w:right="468"/>
            <w:rPr>
              <w:rFonts w:ascii="Arial Narrow" w:hAnsi="Arial Narrow" w:cs="Arial"/>
              <w:b/>
              <w:sz w:val="20"/>
              <w:szCs w:val="20"/>
            </w:rPr>
          </w:pPr>
        </w:p>
        <w:p w14:paraId="4DFA71B9" w14:textId="4C322568" w:rsidR="004839B6" w:rsidRPr="004E40B8" w:rsidRDefault="004839B6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</w:rPr>
          </w:pPr>
        </w:p>
        <w:p w14:paraId="3AD1D6E1" w14:textId="1F2D5640" w:rsidR="004E40B8" w:rsidRP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</w:rPr>
          </w:pPr>
        </w:p>
        <w:p w14:paraId="295286EE" w14:textId="5E0F1C58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04BF4B8A" w14:textId="39C1B25E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6E493B1" w14:textId="1A02DB73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7AA97EB3" w14:textId="536E9482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4442641" w14:textId="557C5C16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1EE594FB" w14:textId="6891249E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2336AD86" w14:textId="03ABA548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6AF06616" w14:textId="23895D45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0D57B06B" w14:textId="7817A021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D671916" w14:textId="373A27A7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tbl>
          <w:tblPr>
            <w:tblW w:w="14743" w:type="dxa"/>
            <w:tblInd w:w="-8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34"/>
            <w:gridCol w:w="1073"/>
            <w:gridCol w:w="5725"/>
            <w:gridCol w:w="4469"/>
            <w:gridCol w:w="842"/>
          </w:tblGrid>
          <w:tr w:rsidR="004E40B8" w:rsidRPr="00AA5547" w14:paraId="25E5533F" w14:textId="77777777" w:rsidTr="005661B0"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BBB59"/>
              </w:tcPr>
              <w:p w14:paraId="074183C9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bookmarkStart w:id="0" w:name="_Hlk135941272"/>
              </w:p>
              <w:p w14:paraId="77695EED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AA5547">
                  <w:rPr>
                    <w:rFonts w:ascii="Arial Narrow" w:hAnsi="Arial Narrow"/>
                    <w:b/>
                    <w:sz w:val="18"/>
                    <w:szCs w:val="18"/>
                  </w:rPr>
                  <w:t>POLICY / PROCEDURE NAME</w:t>
                </w:r>
              </w:p>
              <w:p w14:paraId="206BB10C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</w:tc>
            <w:tc>
              <w:tcPr>
                <w:tcW w:w="12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73D214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1C4F365D" w14:textId="77777777" w:rsidR="004E40B8" w:rsidRPr="004E40B8" w:rsidRDefault="004E40B8" w:rsidP="000E6582">
                <w:pPr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Supply Chain Policy</w:t>
                </w:r>
              </w:p>
            </w:tc>
          </w:tr>
          <w:tr w:rsidR="004E40B8" w:rsidRPr="00AA5547" w14:paraId="537FFCDB" w14:textId="77777777" w:rsidTr="005661B0"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69B759F9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3A03873D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5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34680A93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4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166A73F5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0CEF4D95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tr w:rsidR="004E40B8" w:rsidRPr="004E40B8" w14:paraId="68C6F619" w14:textId="77777777" w:rsidTr="005661B0">
            <w:trPr>
              <w:trHeight w:val="967"/>
            </w:trPr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145272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56ABC70A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SUMMARY OF ISSUE</w:t>
                </w:r>
              </w:p>
            </w:tc>
            <w:tc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FFAC91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REF.NO (Par. in policy / procedure)</w:t>
                </w:r>
              </w:p>
            </w:tc>
            <w:tc>
              <w:tcPr>
                <w:tcW w:w="5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8BF9A9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39F5B112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PROPOSED AMENDMENT / CHANGE</w:t>
                </w:r>
              </w:p>
            </w:tc>
            <w:tc>
              <w:tcPr>
                <w:tcW w:w="4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96CFDD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31B12056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 xml:space="preserve">SOURCE DETAILS </w:t>
                </w:r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(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e.g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Legislation, regulation, 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etc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)</w:t>
                </w: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324EEB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</w:p>
              <w:p w14:paraId="6C0A78BE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Priority / Risk</w:t>
                </w:r>
              </w:p>
            </w:tc>
          </w:tr>
          <w:tr w:rsidR="004E40B8" w:rsidRPr="004E40B8" w14:paraId="0CF92F41" w14:textId="77777777" w:rsidTr="005661B0">
            <w:trPr>
              <w:trHeight w:val="587"/>
            </w:trPr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DC1EA2" w14:textId="77777777" w:rsidR="004E40B8" w:rsidRPr="004E40B8" w:rsidRDefault="004E40B8" w:rsidP="004E40B8">
                <w:pPr>
                  <w:pStyle w:val="BodyTextIndent"/>
                  <w:spacing w:after="0" w:line="360" w:lineRule="auto"/>
                  <w:ind w:left="0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Annexure A – Preferential Procurement Policy Framework Act 2000: Preferential Procurement Regulations.</w:t>
                </w:r>
              </w:p>
            </w:tc>
            <w:tc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9008DE" w14:textId="77777777" w:rsidR="004E40B8" w:rsidRPr="004E40B8" w:rsidRDefault="004E40B8" w:rsidP="000E658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sz w:val="20"/>
                    <w:szCs w:val="20"/>
                  </w:rPr>
                  <w:t>Section 25</w:t>
                </w:r>
              </w:p>
            </w:tc>
            <w:tc>
              <w:tcPr>
                <w:tcW w:w="5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B0E23A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Amendment of annexure A – </w:t>
                </w:r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Preferential Procurement Regulations, 2022</w:t>
                </w:r>
              </w:p>
              <w:p w14:paraId="1AE379AE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Proposed amendment:</w:t>
                </w:r>
              </w:p>
              <w:p w14:paraId="23BFBAF0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</w:p>
              <w:p w14:paraId="0D7361E8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The Minister Finance has, in terms of section 5, read with section 2(1)(b)(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i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) and (ii) and 2(1)(c), of 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thePreferential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 Procurement Policy Framework Act, 2000 (Act No. 5 of 2000), and with effect from 16</w:t>
                </w:r>
              </w:p>
              <w:p w14:paraId="1E7FB728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January 2023 made the regulations set out in the Schedule</w:t>
                </w:r>
              </w:p>
              <w:p w14:paraId="24A24403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 xml:space="preserve">National Treasury / 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Nasionale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Tesourie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 xml:space="preserve"> 2721 </w:t>
                </w:r>
              </w:p>
            </w:tc>
            <w:tc>
              <w:tcPr>
                <w:tcW w:w="4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17EFB3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 </w:t>
                </w:r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National Treasury / </w:t>
                </w:r>
                <w:proofErr w:type="spellStart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>Nasionale</w:t>
                </w:r>
                <w:proofErr w:type="spellEnd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>Tesourie</w:t>
                </w:r>
                <w:proofErr w:type="spellEnd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 2721 Preferential Procurement Policy Framework Act (5/2000): Preferential Procurement </w:t>
                </w:r>
                <w:proofErr w:type="gramStart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>Regulations .Gazette</w:t>
                </w:r>
                <w:proofErr w:type="gramEnd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  47452</w:t>
                </w:r>
              </w:p>
              <w:p w14:paraId="315359E1" w14:textId="77777777" w:rsidR="004E40B8" w:rsidRPr="004E40B8" w:rsidRDefault="004E40B8" w:rsidP="000E6582">
                <w:pPr>
                  <w:rPr>
                    <w:rFonts w:ascii="Arial Narrow" w:hAnsi="Arial Narrow"/>
                    <w:sz w:val="20"/>
                    <w:szCs w:val="20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ABDAE3" w14:textId="77777777" w:rsidR="004E40B8" w:rsidRPr="004E40B8" w:rsidRDefault="004E40B8" w:rsidP="000E6582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Priority</w:t>
                </w:r>
              </w:p>
            </w:tc>
          </w:tr>
          <w:bookmarkEnd w:id="0"/>
        </w:tbl>
        <w:p w14:paraId="4D0FF028" w14:textId="77777777" w:rsidR="004E40B8" w:rsidRP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20"/>
              <w:szCs w:val="20"/>
            </w:rPr>
          </w:pPr>
        </w:p>
        <w:p w14:paraId="1BE99496" w14:textId="77777777" w:rsidR="004839B6" w:rsidRPr="004E40B8" w:rsidRDefault="004839B6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20"/>
              <w:szCs w:val="20"/>
            </w:rPr>
          </w:pPr>
        </w:p>
        <w:tbl>
          <w:tblPr>
            <w:tblW w:w="14743" w:type="dxa"/>
            <w:tblInd w:w="-8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34"/>
            <w:gridCol w:w="1073"/>
            <w:gridCol w:w="5725"/>
            <w:gridCol w:w="4469"/>
            <w:gridCol w:w="842"/>
          </w:tblGrid>
          <w:tr w:rsidR="000A283F" w:rsidRPr="00AA5547" w14:paraId="3936375E" w14:textId="77777777" w:rsidTr="004B1AEC"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BBB59"/>
              </w:tcPr>
              <w:p w14:paraId="7CD5EFC4" w14:textId="77777777" w:rsidR="000A283F" w:rsidRPr="00AA5547" w:rsidRDefault="000A283F" w:rsidP="004B1AEC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365C2212" w14:textId="77777777" w:rsidR="000A283F" w:rsidRPr="00AA5547" w:rsidRDefault="000A283F" w:rsidP="004B1AEC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AA5547">
                  <w:rPr>
                    <w:rFonts w:ascii="Arial Narrow" w:hAnsi="Arial Narrow"/>
                    <w:b/>
                    <w:sz w:val="18"/>
                    <w:szCs w:val="18"/>
                  </w:rPr>
                  <w:t>POLICY / PROCEDURE NAME</w:t>
                </w:r>
              </w:p>
              <w:p w14:paraId="0793EDBA" w14:textId="77777777" w:rsidR="000A283F" w:rsidRPr="00AA5547" w:rsidRDefault="000A283F" w:rsidP="004B1AEC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</w:tc>
            <w:tc>
              <w:tcPr>
                <w:tcW w:w="12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139C3C" w14:textId="77777777" w:rsidR="000A283F" w:rsidRPr="00AA5547" w:rsidRDefault="000A283F" w:rsidP="004B1AEC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785D9551" w14:textId="3CBEEB1B" w:rsidR="000A283F" w:rsidRPr="004E40B8" w:rsidRDefault="000A283F" w:rsidP="004B1AEC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Tariffs Policy</w:t>
                </w:r>
              </w:p>
            </w:tc>
          </w:tr>
          <w:tr w:rsidR="000A283F" w:rsidRPr="00AA5547" w14:paraId="39DA40BD" w14:textId="77777777" w:rsidTr="004B1AEC"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6FF6DD33" w14:textId="77777777" w:rsidR="000A283F" w:rsidRPr="00AA5547" w:rsidRDefault="000A283F" w:rsidP="004B1AEC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6C90D560" w14:textId="77777777" w:rsidR="000A283F" w:rsidRPr="00AA5547" w:rsidRDefault="000A283F" w:rsidP="004B1AEC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5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0B56BACA" w14:textId="77777777" w:rsidR="000A283F" w:rsidRPr="00AA5547" w:rsidRDefault="000A283F" w:rsidP="004B1AEC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4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1948950D" w14:textId="77777777" w:rsidR="000A283F" w:rsidRPr="00AA5547" w:rsidRDefault="000A283F" w:rsidP="004B1AEC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108ADA02" w14:textId="77777777" w:rsidR="000A283F" w:rsidRPr="00AA5547" w:rsidRDefault="000A283F" w:rsidP="004B1AEC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tr w:rsidR="000A283F" w:rsidRPr="004E40B8" w14:paraId="6492B15B" w14:textId="77777777" w:rsidTr="004B1AEC">
            <w:trPr>
              <w:trHeight w:val="967"/>
            </w:trPr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F26D7A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635E9A7D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SUMMARY OF ISSUE</w:t>
                </w:r>
              </w:p>
            </w:tc>
            <w:tc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599DF4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REF.NO (Par. in policy / procedure)</w:t>
                </w:r>
              </w:p>
            </w:tc>
            <w:tc>
              <w:tcPr>
                <w:tcW w:w="5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0D6CBC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5A1152FE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PROPOSED AMENDMENT / CHANGE</w:t>
                </w:r>
              </w:p>
            </w:tc>
            <w:tc>
              <w:tcPr>
                <w:tcW w:w="4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A9CD49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3E3562C1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 xml:space="preserve">SOURCE DETAILS </w:t>
                </w:r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(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e.g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Legislation, regulation, 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etc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)</w:t>
                </w: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1A5BE9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</w:p>
              <w:p w14:paraId="0B44AC4D" w14:textId="77777777" w:rsidR="000A283F" w:rsidRPr="004E40B8" w:rsidRDefault="000A283F" w:rsidP="004B1AEC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Priority / Risk</w:t>
                </w:r>
              </w:p>
            </w:tc>
          </w:tr>
          <w:tr w:rsidR="000A283F" w:rsidRPr="004E40B8" w14:paraId="4826591A" w14:textId="77777777" w:rsidTr="004B1AEC">
            <w:trPr>
              <w:trHeight w:val="587"/>
            </w:trPr>
            <w:tc>
              <w:tcPr>
                <w:tcW w:w="2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AAD06A" w14:textId="3217CAA5" w:rsidR="000A283F" w:rsidRPr="004E40B8" w:rsidRDefault="000A283F" w:rsidP="000A283F">
                <w:pPr>
                  <w:pStyle w:val="BodyTextIndent"/>
                  <w:spacing w:after="0" w:line="360" w:lineRule="auto"/>
                  <w:ind w:left="0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 xml:space="preserve">Auxiliary – application of auxiliary to recover money due to incorrect tariff implementation. </w:t>
                </w:r>
              </w:p>
            </w:tc>
            <w:tc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60A62FA" w14:textId="7321DFE4" w:rsidR="000A283F" w:rsidRPr="004E40B8" w:rsidRDefault="005064FD" w:rsidP="000A283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Section 3</w:t>
                </w:r>
              </w:p>
            </w:tc>
            <w:tc>
              <w:tcPr>
                <w:tcW w:w="5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C5D722" w14:textId="77777777" w:rsidR="000A283F" w:rsidRPr="004E40B8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 xml:space="preserve">Amendment of Section </w:t>
                </w:r>
                <w:r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 xml:space="preserve">3 </w:t>
                </w: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of the Policy</w:t>
                </w:r>
                <w:r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: Policy Principle</w:t>
                </w:r>
              </w:p>
              <w:p w14:paraId="21DB2039" w14:textId="77777777" w:rsidR="000A283F" w:rsidRPr="004E40B8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  <w:p w14:paraId="6E70019F" w14:textId="77777777" w:rsidR="000A283F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Proposed amendment:</w:t>
                </w:r>
              </w:p>
              <w:p w14:paraId="59FB2593" w14:textId="77777777" w:rsidR="000A283F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</w:p>
              <w:p w14:paraId="12DD5923" w14:textId="77777777" w:rsidR="000A283F" w:rsidRPr="000A283F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0A283F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lastRenderedPageBreak/>
                  <w:t xml:space="preserve">m) In the event that the entity discovers that the customer has been charged on incorrect tariff due to property zoning/system glitches/delays, the auxiliary payment system may be activated for the gradual payment of the disparity as a percentage of purchases.   </w:t>
                </w:r>
              </w:p>
              <w:p w14:paraId="50B15A4C" w14:textId="77777777" w:rsidR="000A283F" w:rsidRPr="004E40B8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</w:p>
              <w:p w14:paraId="19975B75" w14:textId="67462C13" w:rsidR="000A283F" w:rsidRPr="004E40B8" w:rsidRDefault="000A283F" w:rsidP="000A283F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</w:p>
            </w:tc>
            <w:tc>
              <w:tcPr>
                <w:tcW w:w="4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C4478C" w14:textId="037EB353" w:rsidR="000A283F" w:rsidRPr="004E40B8" w:rsidRDefault="00AA5AAD" w:rsidP="00AA5AAD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AA5AAD">
                  <w:rPr>
                    <w:rFonts w:ascii="Arial Narrow" w:hAnsi="Arial Narrow"/>
                    <w:sz w:val="20"/>
                    <w:szCs w:val="20"/>
                  </w:rPr>
                  <w:lastRenderedPageBreak/>
                  <w:t xml:space="preserve">Local Government Municipal Systems Act, 2000 </w:t>
                </w: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F98313" w14:textId="3EE1F37F" w:rsidR="000A283F" w:rsidRPr="004E40B8" w:rsidRDefault="000A283F" w:rsidP="000A283F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 xml:space="preserve">Priority </w:t>
                </w:r>
              </w:p>
            </w:tc>
          </w:tr>
        </w:tbl>
        <w:p w14:paraId="51D70547" w14:textId="3FAB85A2" w:rsidR="003C366E" w:rsidRPr="004E40B8" w:rsidRDefault="003C366E" w:rsidP="000A283F">
          <w:pPr>
            <w:spacing w:line="360" w:lineRule="auto"/>
            <w:ind w:right="468" w:hanging="851"/>
            <w:rPr>
              <w:rFonts w:ascii="Arial Narrow" w:hAnsi="Arial Narrow" w:cs="Arial"/>
              <w:b/>
              <w:sz w:val="20"/>
              <w:szCs w:val="20"/>
            </w:rPr>
          </w:pPr>
        </w:p>
        <w:p w14:paraId="32326541" w14:textId="526348D3" w:rsidR="004E40B8" w:rsidRPr="004E40B8" w:rsidRDefault="004E40B8" w:rsidP="001B4A97">
          <w:pPr>
            <w:spacing w:line="360" w:lineRule="auto"/>
            <w:ind w:right="468"/>
            <w:rPr>
              <w:rFonts w:ascii="Arial Narrow" w:hAnsi="Arial Narrow" w:cs="Arial"/>
              <w:b/>
              <w:sz w:val="20"/>
              <w:szCs w:val="20"/>
            </w:rPr>
          </w:pPr>
        </w:p>
        <w:p w14:paraId="45EDBB2A" w14:textId="77777777" w:rsidR="004E40B8" w:rsidRPr="004E0401" w:rsidRDefault="004E40B8" w:rsidP="001B4A97">
          <w:pPr>
            <w:spacing w:line="360" w:lineRule="auto"/>
            <w:ind w:right="468"/>
            <w:rPr>
              <w:rFonts w:ascii="Arial Narrow" w:hAnsi="Arial Narrow" w:cs="Arial"/>
              <w:b/>
              <w:sz w:val="18"/>
              <w:szCs w:val="18"/>
            </w:rPr>
          </w:pPr>
        </w:p>
        <w:p w14:paraId="40F24FAE" w14:textId="77777777" w:rsidR="001C779D" w:rsidRDefault="001C779D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2AE7ACB7" w14:textId="77777777" w:rsidR="001C779D" w:rsidRPr="00AA5547" w:rsidRDefault="001C779D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14D9AE8B" w14:textId="77777777" w:rsidR="00F64AF8" w:rsidRPr="00AA5547" w:rsidRDefault="00F64AF8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7E09B799" w14:textId="77777777" w:rsidR="00F64AF8" w:rsidRPr="00AA5547" w:rsidRDefault="00F64AF8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55D5761F" w14:textId="77777777" w:rsidR="00F64AF8" w:rsidRPr="00AA5547" w:rsidRDefault="00F64AF8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792161BE" w14:textId="77777777" w:rsidR="000C3B2F" w:rsidRPr="00AA5547" w:rsidRDefault="000C3B2F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10AFB81A" w14:textId="77777777" w:rsidR="0098334E" w:rsidRPr="00AA5547" w:rsidRDefault="00E26762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</w:sdtContent>
    </w:sdt>
    <w:p w14:paraId="40367D82" w14:textId="77777777" w:rsidR="00AA5547" w:rsidRPr="00AA5547" w:rsidRDefault="00AA5547">
      <w:pPr>
        <w:spacing w:line="360" w:lineRule="auto"/>
        <w:ind w:right="468"/>
        <w:jc w:val="both"/>
        <w:rPr>
          <w:rFonts w:ascii="Arial Narrow" w:hAnsi="Arial Narrow" w:cs="Arial"/>
          <w:b/>
          <w:sz w:val="18"/>
          <w:szCs w:val="18"/>
        </w:rPr>
      </w:pPr>
    </w:p>
    <w:sectPr w:rsidR="00AA5547" w:rsidRPr="00AA5547" w:rsidSect="001E74BE">
      <w:headerReference w:type="default" r:id="rId10"/>
      <w:footerReference w:type="default" r:id="rId11"/>
      <w:pgSz w:w="15840" w:h="12240" w:orient="landscape"/>
      <w:pgMar w:top="900" w:right="1440" w:bottom="1797" w:left="1440" w:header="720" w:footer="72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2E8E" w14:textId="77777777" w:rsidR="00C5035A" w:rsidRDefault="00C5035A" w:rsidP="00FF7BE3">
      <w:r>
        <w:separator/>
      </w:r>
    </w:p>
  </w:endnote>
  <w:endnote w:type="continuationSeparator" w:id="0">
    <w:p w14:paraId="6A5DC8E1" w14:textId="77777777" w:rsidR="00C5035A" w:rsidRDefault="00C5035A" w:rsidP="00FF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1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42E38C8" w14:textId="77777777" w:rsidR="00F129DC" w:rsidRPr="00394FAE" w:rsidRDefault="00F129DC">
        <w:pPr>
          <w:pStyle w:val="Footer"/>
          <w:jc w:val="right"/>
          <w:rPr>
            <w:u w:val="single"/>
          </w:rPr>
        </w:pP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</w:p>
      <w:p w14:paraId="4C451CA2" w14:textId="77777777" w:rsidR="00F129DC" w:rsidRPr="00394FAE" w:rsidRDefault="00F129DC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94FAE">
          <w:rPr>
            <w:rFonts w:ascii="Arial" w:hAnsi="Arial" w:cs="Arial"/>
            <w:sz w:val="20"/>
            <w:szCs w:val="20"/>
          </w:rPr>
          <w:t xml:space="preserve">Page | </w:t>
        </w:r>
        <w:r w:rsidRPr="00394FAE">
          <w:rPr>
            <w:rFonts w:ascii="Arial" w:hAnsi="Arial" w:cs="Arial"/>
            <w:sz w:val="20"/>
            <w:szCs w:val="20"/>
          </w:rPr>
          <w:fldChar w:fldCharType="begin"/>
        </w:r>
        <w:r w:rsidRPr="00394FA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94FAE">
          <w:rPr>
            <w:rFonts w:ascii="Arial" w:hAnsi="Arial" w:cs="Arial"/>
            <w:sz w:val="20"/>
            <w:szCs w:val="20"/>
          </w:rPr>
          <w:fldChar w:fldCharType="separate"/>
        </w:r>
        <w:r w:rsidR="00FE12C7">
          <w:rPr>
            <w:rFonts w:ascii="Arial" w:hAnsi="Arial" w:cs="Arial"/>
            <w:noProof/>
            <w:sz w:val="20"/>
            <w:szCs w:val="20"/>
          </w:rPr>
          <w:t>2</w:t>
        </w:r>
        <w:r w:rsidRPr="00394FAE">
          <w:rPr>
            <w:rFonts w:ascii="Arial" w:hAnsi="Arial" w:cs="Arial"/>
            <w:sz w:val="20"/>
            <w:szCs w:val="20"/>
          </w:rPr>
          <w:fldChar w:fldCharType="end"/>
        </w:r>
        <w:r w:rsidRPr="00394FAE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126853BD" w14:textId="77777777" w:rsidR="00F129DC" w:rsidRDefault="00F12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4D2C" w14:textId="77777777" w:rsidR="00C5035A" w:rsidRDefault="00C5035A" w:rsidP="00FF7BE3">
      <w:r>
        <w:separator/>
      </w:r>
    </w:p>
  </w:footnote>
  <w:footnote w:type="continuationSeparator" w:id="0">
    <w:p w14:paraId="3586C3A8" w14:textId="77777777" w:rsidR="00C5035A" w:rsidRDefault="00C5035A" w:rsidP="00FF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F542" w14:textId="77777777" w:rsidR="00F129DC" w:rsidRPr="00E74E0C" w:rsidRDefault="00F129DC" w:rsidP="0095240C">
    <w:pPr>
      <w:pStyle w:val="Header"/>
      <w:rPr>
        <w:rFonts w:ascii="Arial" w:hAnsi="Arial" w:cs="Arial"/>
        <w:color w:val="000000" w:themeColor="text1"/>
        <w:sz w:val="28"/>
        <w:szCs w:val="28"/>
        <w:lang w:val="en-GB"/>
      </w:rPr>
    </w:pPr>
    <w:r w:rsidRPr="00E74E0C">
      <w:rPr>
        <w:rFonts w:ascii="Arial" w:hAnsi="Arial" w:cs="Arial"/>
        <w:color w:val="000000" w:themeColor="text1"/>
        <w:sz w:val="28"/>
        <w:szCs w:val="28"/>
        <w:lang w:val="en-GB"/>
      </w:rPr>
      <w:t xml:space="preserve">Centlec (SoC) </w:t>
    </w:r>
    <w:r>
      <w:rPr>
        <w:rFonts w:ascii="Arial" w:hAnsi="Arial" w:cs="Arial"/>
        <w:color w:val="000000" w:themeColor="text1"/>
        <w:sz w:val="28"/>
        <w:szCs w:val="28"/>
        <w:lang w:val="en-GB"/>
      </w:rPr>
      <w:t xml:space="preserve">Ltd </w:t>
    </w:r>
    <w:r w:rsidRPr="00E74E0C">
      <w:rPr>
        <w:rFonts w:ascii="Arial" w:hAnsi="Arial" w:cs="Arial"/>
        <w:color w:val="000000" w:themeColor="text1"/>
        <w:sz w:val="28"/>
        <w:szCs w:val="28"/>
        <w:lang w:val="en-GB"/>
      </w:rPr>
      <w:t xml:space="preserve">– </w:t>
    </w:r>
    <w:r>
      <w:rPr>
        <w:rFonts w:ascii="Arial" w:hAnsi="Arial" w:cs="Arial"/>
        <w:color w:val="000000" w:themeColor="text1"/>
        <w:sz w:val="28"/>
        <w:szCs w:val="28"/>
        <w:lang w:val="en-GB"/>
      </w:rPr>
      <w:t>Policies Amendments Register</w:t>
    </w:r>
  </w:p>
  <w:p w14:paraId="6FC8B12D" w14:textId="77777777" w:rsidR="00F129DC" w:rsidRPr="00E74E0C" w:rsidRDefault="00F129DC" w:rsidP="0095240C">
    <w:pPr>
      <w:pStyle w:val="Header"/>
      <w:rPr>
        <w:rFonts w:ascii="Arial" w:hAnsi="Arial" w:cs="Arial"/>
        <w:color w:val="000000" w:themeColor="text1"/>
        <w:u w:val="single"/>
        <w:lang w:val="en-GB"/>
      </w:rPr>
    </w:pPr>
    <w:r w:rsidRPr="00E74E0C">
      <w:rPr>
        <w:rFonts w:ascii="Arial" w:hAnsi="Arial" w:cs="Arial"/>
        <w:color w:val="000000" w:themeColor="text1"/>
        <w:u w:val="single"/>
        <w:lang w:val="en-GB"/>
      </w:rPr>
      <w:tab/>
    </w:r>
    <w:r w:rsidRPr="00E74E0C"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</w:p>
  <w:p w14:paraId="01420124" w14:textId="77777777" w:rsidR="00F129DC" w:rsidRDefault="00F129DC" w:rsidP="0095240C">
    <w:pPr>
      <w:pStyle w:val="Header"/>
      <w:rPr>
        <w:rFonts w:ascii="Arial" w:hAnsi="Arial" w:cs="Arial"/>
        <w:b/>
        <w:color w:val="000000" w:themeColor="text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655"/>
    <w:multiLevelType w:val="hybridMultilevel"/>
    <w:tmpl w:val="6BC605A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6D67"/>
    <w:multiLevelType w:val="hybridMultilevel"/>
    <w:tmpl w:val="214CA0EC"/>
    <w:lvl w:ilvl="0" w:tplc="1380654C">
      <w:start w:val="1"/>
      <w:numFmt w:val="decimal"/>
      <w:lvlText w:val="%1."/>
      <w:lvlJc w:val="left"/>
      <w:pPr>
        <w:ind w:left="801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52E9"/>
    <w:multiLevelType w:val="multilevel"/>
    <w:tmpl w:val="1E343C9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C0F5D"/>
    <w:multiLevelType w:val="hybridMultilevel"/>
    <w:tmpl w:val="3D54459E"/>
    <w:lvl w:ilvl="0" w:tplc="4A76091A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CC3EDB2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6B6A"/>
    <w:multiLevelType w:val="multilevel"/>
    <w:tmpl w:val="11EE58D4"/>
    <w:lvl w:ilvl="0">
      <w:start w:val="2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41FF25A7"/>
    <w:multiLevelType w:val="hybridMultilevel"/>
    <w:tmpl w:val="D3CCE334"/>
    <w:lvl w:ilvl="0" w:tplc="1C09000F">
      <w:start w:val="1"/>
      <w:numFmt w:val="decimal"/>
      <w:pStyle w:val="Numberedparagraph"/>
      <w:lvlText w:val="%1."/>
      <w:lvlJc w:val="left"/>
      <w:pPr>
        <w:tabs>
          <w:tab w:val="num" w:pos="1404"/>
        </w:tabs>
        <w:ind w:left="1404" w:hanging="454"/>
      </w:pPr>
      <w:rPr>
        <w:rFonts w:hint="default"/>
        <w:sz w:val="22"/>
        <w:szCs w:val="22"/>
      </w:rPr>
    </w:lvl>
    <w:lvl w:ilvl="1" w:tplc="1C09000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2" w:tplc="7696C8F0">
      <w:start w:val="1"/>
      <w:numFmt w:val="bullet"/>
      <w:lvlText w:val=""/>
      <w:lvlJc w:val="left"/>
      <w:pPr>
        <w:tabs>
          <w:tab w:val="num" w:pos="3459"/>
        </w:tabs>
        <w:ind w:left="3459" w:hanging="180"/>
      </w:pPr>
      <w:rPr>
        <w:rFonts w:ascii="Symbol" w:hAnsi="Symbol" w:hint="default"/>
      </w:rPr>
    </w:lvl>
    <w:lvl w:ilvl="3" w:tplc="1C09000F">
      <w:start w:val="1"/>
      <w:numFmt w:val="lowerLetter"/>
      <w:lvlText w:val="%4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4" w:tplc="1C090019">
      <w:start w:val="1"/>
      <w:numFmt w:val="lowerLetter"/>
      <w:lvlText w:val="%5."/>
      <w:lvlJc w:val="left"/>
      <w:pPr>
        <w:tabs>
          <w:tab w:val="num" w:pos="4899"/>
        </w:tabs>
        <w:ind w:left="4899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5619"/>
        </w:tabs>
        <w:ind w:left="5619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6339"/>
        </w:tabs>
        <w:ind w:left="6339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7059"/>
        </w:tabs>
        <w:ind w:left="7059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7779"/>
        </w:tabs>
        <w:ind w:left="7779" w:hanging="180"/>
      </w:pPr>
    </w:lvl>
  </w:abstractNum>
  <w:abstractNum w:abstractNumId="6" w15:restartNumberingAfterBreak="0">
    <w:nsid w:val="4AF444E2"/>
    <w:multiLevelType w:val="multilevel"/>
    <w:tmpl w:val="92C2C608"/>
    <w:lvl w:ilvl="0">
      <w:start w:val="24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205F93"/>
    <w:multiLevelType w:val="hybridMultilevel"/>
    <w:tmpl w:val="965CB6E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227B7"/>
    <w:multiLevelType w:val="hybridMultilevel"/>
    <w:tmpl w:val="35E62AFC"/>
    <w:lvl w:ilvl="0" w:tplc="AC467A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1D6B"/>
    <w:multiLevelType w:val="hybridMultilevel"/>
    <w:tmpl w:val="A0CAD2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13C8"/>
    <w:multiLevelType w:val="hybridMultilevel"/>
    <w:tmpl w:val="24B82AA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3005E"/>
    <w:multiLevelType w:val="multilevel"/>
    <w:tmpl w:val="A3E4F996"/>
    <w:lvl w:ilvl="0">
      <w:start w:val="24"/>
      <w:numFmt w:val="decimal"/>
      <w:lvlText w:val="%1"/>
      <w:lvlJc w:val="left"/>
      <w:pPr>
        <w:ind w:left="730" w:hanging="73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730" w:hanging="73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30" w:hanging="7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303356B"/>
    <w:multiLevelType w:val="hybridMultilevel"/>
    <w:tmpl w:val="D62E4BD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2034E1A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60F3C"/>
    <w:multiLevelType w:val="multilevel"/>
    <w:tmpl w:val="1E343C9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436A2C"/>
    <w:multiLevelType w:val="hybridMultilevel"/>
    <w:tmpl w:val="DB96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E1739"/>
    <w:multiLevelType w:val="hybridMultilevel"/>
    <w:tmpl w:val="97480DAE"/>
    <w:lvl w:ilvl="0" w:tplc="1ADE170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8C733D1"/>
    <w:multiLevelType w:val="multilevel"/>
    <w:tmpl w:val="3E14EC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7A4B5E4C"/>
    <w:multiLevelType w:val="multilevel"/>
    <w:tmpl w:val="B44A2E2C"/>
    <w:lvl w:ilvl="0">
      <w:start w:val="2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1548207">
    <w:abstractNumId w:val="5"/>
  </w:num>
  <w:num w:numId="2" w16cid:durableId="1729107836">
    <w:abstractNumId w:val="9"/>
  </w:num>
  <w:num w:numId="3" w16cid:durableId="1750030986">
    <w:abstractNumId w:val="11"/>
  </w:num>
  <w:num w:numId="4" w16cid:durableId="650911041">
    <w:abstractNumId w:val="14"/>
  </w:num>
  <w:num w:numId="5" w16cid:durableId="675306162">
    <w:abstractNumId w:val="17"/>
  </w:num>
  <w:num w:numId="6" w16cid:durableId="1821997928">
    <w:abstractNumId w:val="6"/>
  </w:num>
  <w:num w:numId="7" w16cid:durableId="5136231">
    <w:abstractNumId w:val="4"/>
  </w:num>
  <w:num w:numId="8" w16cid:durableId="1265304744">
    <w:abstractNumId w:val="0"/>
  </w:num>
  <w:num w:numId="9" w16cid:durableId="419497010">
    <w:abstractNumId w:val="3"/>
  </w:num>
  <w:num w:numId="10" w16cid:durableId="5059065">
    <w:abstractNumId w:val="12"/>
  </w:num>
  <w:num w:numId="11" w16cid:durableId="1164052104">
    <w:abstractNumId w:val="7"/>
  </w:num>
  <w:num w:numId="12" w16cid:durableId="1176268255">
    <w:abstractNumId w:val="16"/>
  </w:num>
  <w:num w:numId="13" w16cid:durableId="57630607">
    <w:abstractNumId w:val="8"/>
  </w:num>
  <w:num w:numId="14" w16cid:durableId="1392729785">
    <w:abstractNumId w:val="15"/>
  </w:num>
  <w:num w:numId="15" w16cid:durableId="1532258737">
    <w:abstractNumId w:val="1"/>
  </w:num>
  <w:num w:numId="16" w16cid:durableId="10512737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37334053">
    <w:abstractNumId w:val="2"/>
  </w:num>
  <w:num w:numId="18" w16cid:durableId="48871433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23"/>
    <w:rsid w:val="00000227"/>
    <w:rsid w:val="0001193B"/>
    <w:rsid w:val="00011B25"/>
    <w:rsid w:val="00013732"/>
    <w:rsid w:val="00013BC9"/>
    <w:rsid w:val="00015603"/>
    <w:rsid w:val="00024C20"/>
    <w:rsid w:val="00026866"/>
    <w:rsid w:val="000273C1"/>
    <w:rsid w:val="0003720F"/>
    <w:rsid w:val="00040271"/>
    <w:rsid w:val="00044C41"/>
    <w:rsid w:val="00057FFE"/>
    <w:rsid w:val="00060077"/>
    <w:rsid w:val="000606DA"/>
    <w:rsid w:val="00060F87"/>
    <w:rsid w:val="00063E36"/>
    <w:rsid w:val="000735B2"/>
    <w:rsid w:val="00073934"/>
    <w:rsid w:val="000A283F"/>
    <w:rsid w:val="000B3CE7"/>
    <w:rsid w:val="000B59C9"/>
    <w:rsid w:val="000C0364"/>
    <w:rsid w:val="000C26D8"/>
    <w:rsid w:val="000C3B2F"/>
    <w:rsid w:val="000C5B6C"/>
    <w:rsid w:val="000D3CE1"/>
    <w:rsid w:val="000D5847"/>
    <w:rsid w:val="000E0543"/>
    <w:rsid w:val="000E0793"/>
    <w:rsid w:val="000E3186"/>
    <w:rsid w:val="000E3691"/>
    <w:rsid w:val="000E3EE8"/>
    <w:rsid w:val="000F2DB3"/>
    <w:rsid w:val="000F5EC9"/>
    <w:rsid w:val="00104A17"/>
    <w:rsid w:val="0010721A"/>
    <w:rsid w:val="0011081B"/>
    <w:rsid w:val="001117CC"/>
    <w:rsid w:val="0011366B"/>
    <w:rsid w:val="00113B6A"/>
    <w:rsid w:val="0011448F"/>
    <w:rsid w:val="0011789C"/>
    <w:rsid w:val="00134606"/>
    <w:rsid w:val="00134F37"/>
    <w:rsid w:val="0014193B"/>
    <w:rsid w:val="00141F9E"/>
    <w:rsid w:val="00142F4C"/>
    <w:rsid w:val="00150C16"/>
    <w:rsid w:val="00153DBA"/>
    <w:rsid w:val="001547E1"/>
    <w:rsid w:val="001558AE"/>
    <w:rsid w:val="001617BC"/>
    <w:rsid w:val="001626DE"/>
    <w:rsid w:val="001653F1"/>
    <w:rsid w:val="0017055A"/>
    <w:rsid w:val="00176867"/>
    <w:rsid w:val="00185BAC"/>
    <w:rsid w:val="001A00FE"/>
    <w:rsid w:val="001A0A32"/>
    <w:rsid w:val="001A138E"/>
    <w:rsid w:val="001A3804"/>
    <w:rsid w:val="001A5E18"/>
    <w:rsid w:val="001B4A97"/>
    <w:rsid w:val="001B5471"/>
    <w:rsid w:val="001C36B7"/>
    <w:rsid w:val="001C481F"/>
    <w:rsid w:val="001C4A12"/>
    <w:rsid w:val="001C6D93"/>
    <w:rsid w:val="001C7468"/>
    <w:rsid w:val="001C779D"/>
    <w:rsid w:val="001D4C73"/>
    <w:rsid w:val="001D68C8"/>
    <w:rsid w:val="001E10C1"/>
    <w:rsid w:val="001E2DD0"/>
    <w:rsid w:val="001E329D"/>
    <w:rsid w:val="001E3913"/>
    <w:rsid w:val="001E740C"/>
    <w:rsid w:val="001E74BE"/>
    <w:rsid w:val="001E78F4"/>
    <w:rsid w:val="001F77AE"/>
    <w:rsid w:val="00207C91"/>
    <w:rsid w:val="00207F77"/>
    <w:rsid w:val="00213418"/>
    <w:rsid w:val="00214269"/>
    <w:rsid w:val="00220079"/>
    <w:rsid w:val="00222E2D"/>
    <w:rsid w:val="00227F12"/>
    <w:rsid w:val="002328BE"/>
    <w:rsid w:val="002340FB"/>
    <w:rsid w:val="00234B79"/>
    <w:rsid w:val="00235196"/>
    <w:rsid w:val="0024548F"/>
    <w:rsid w:val="002470EC"/>
    <w:rsid w:val="00247DF6"/>
    <w:rsid w:val="002514A2"/>
    <w:rsid w:val="00252EC7"/>
    <w:rsid w:val="002562E0"/>
    <w:rsid w:val="00257971"/>
    <w:rsid w:val="00262E2C"/>
    <w:rsid w:val="00264D41"/>
    <w:rsid w:val="00270F8F"/>
    <w:rsid w:val="00272953"/>
    <w:rsid w:val="002874BE"/>
    <w:rsid w:val="00293F19"/>
    <w:rsid w:val="002A0EFF"/>
    <w:rsid w:val="002A3760"/>
    <w:rsid w:val="002B7A43"/>
    <w:rsid w:val="002C0847"/>
    <w:rsid w:val="002C2520"/>
    <w:rsid w:val="002C5838"/>
    <w:rsid w:val="002D6D8F"/>
    <w:rsid w:val="002E02AA"/>
    <w:rsid w:val="002E2710"/>
    <w:rsid w:val="002E53B1"/>
    <w:rsid w:val="002E73E9"/>
    <w:rsid w:val="002F1732"/>
    <w:rsid w:val="002F29AF"/>
    <w:rsid w:val="002F3A40"/>
    <w:rsid w:val="002F50A2"/>
    <w:rsid w:val="002F6DB1"/>
    <w:rsid w:val="002F78F1"/>
    <w:rsid w:val="00300B90"/>
    <w:rsid w:val="00301D0F"/>
    <w:rsid w:val="00302D39"/>
    <w:rsid w:val="00304CF2"/>
    <w:rsid w:val="00310B50"/>
    <w:rsid w:val="00310C27"/>
    <w:rsid w:val="00311B8F"/>
    <w:rsid w:val="00312BAD"/>
    <w:rsid w:val="00323DEE"/>
    <w:rsid w:val="003278D9"/>
    <w:rsid w:val="00327B9B"/>
    <w:rsid w:val="00330042"/>
    <w:rsid w:val="0033422C"/>
    <w:rsid w:val="00335903"/>
    <w:rsid w:val="00335BC2"/>
    <w:rsid w:val="00336AED"/>
    <w:rsid w:val="003411BA"/>
    <w:rsid w:val="00345322"/>
    <w:rsid w:val="00346246"/>
    <w:rsid w:val="00346810"/>
    <w:rsid w:val="0035129E"/>
    <w:rsid w:val="00353C83"/>
    <w:rsid w:val="00363B8E"/>
    <w:rsid w:val="003649D5"/>
    <w:rsid w:val="003660FC"/>
    <w:rsid w:val="00376F7E"/>
    <w:rsid w:val="00383B41"/>
    <w:rsid w:val="003852D7"/>
    <w:rsid w:val="003918C7"/>
    <w:rsid w:val="00394C1C"/>
    <w:rsid w:val="00394EE5"/>
    <w:rsid w:val="00394FAE"/>
    <w:rsid w:val="003A2432"/>
    <w:rsid w:val="003A3C74"/>
    <w:rsid w:val="003A54AB"/>
    <w:rsid w:val="003A71D4"/>
    <w:rsid w:val="003B3AB8"/>
    <w:rsid w:val="003B4ADC"/>
    <w:rsid w:val="003C01AA"/>
    <w:rsid w:val="003C366E"/>
    <w:rsid w:val="003C6B81"/>
    <w:rsid w:val="003D38CB"/>
    <w:rsid w:val="003D563D"/>
    <w:rsid w:val="003D7259"/>
    <w:rsid w:val="003E231D"/>
    <w:rsid w:val="003E37B0"/>
    <w:rsid w:val="004020A1"/>
    <w:rsid w:val="00404ECB"/>
    <w:rsid w:val="00407639"/>
    <w:rsid w:val="00410A6E"/>
    <w:rsid w:val="0041213C"/>
    <w:rsid w:val="00414046"/>
    <w:rsid w:val="00415D7E"/>
    <w:rsid w:val="00417EFF"/>
    <w:rsid w:val="00425618"/>
    <w:rsid w:val="00431016"/>
    <w:rsid w:val="0043102D"/>
    <w:rsid w:val="00432314"/>
    <w:rsid w:val="00433C5D"/>
    <w:rsid w:val="0043647C"/>
    <w:rsid w:val="004411F0"/>
    <w:rsid w:val="00444AFC"/>
    <w:rsid w:val="00446F6A"/>
    <w:rsid w:val="00450A0A"/>
    <w:rsid w:val="004528D1"/>
    <w:rsid w:val="00464305"/>
    <w:rsid w:val="004664E7"/>
    <w:rsid w:val="00467FEE"/>
    <w:rsid w:val="004747B8"/>
    <w:rsid w:val="0047724E"/>
    <w:rsid w:val="004774E4"/>
    <w:rsid w:val="004819A8"/>
    <w:rsid w:val="004824E1"/>
    <w:rsid w:val="00483499"/>
    <w:rsid w:val="004839B6"/>
    <w:rsid w:val="00490350"/>
    <w:rsid w:val="004929F8"/>
    <w:rsid w:val="00495CC0"/>
    <w:rsid w:val="004A01F1"/>
    <w:rsid w:val="004A4A36"/>
    <w:rsid w:val="004A4B0C"/>
    <w:rsid w:val="004A7AF8"/>
    <w:rsid w:val="004B1B5C"/>
    <w:rsid w:val="004C1087"/>
    <w:rsid w:val="004C1C53"/>
    <w:rsid w:val="004C5E6F"/>
    <w:rsid w:val="004C6DFE"/>
    <w:rsid w:val="004D594A"/>
    <w:rsid w:val="004D771F"/>
    <w:rsid w:val="004E0401"/>
    <w:rsid w:val="004E0A63"/>
    <w:rsid w:val="004E2564"/>
    <w:rsid w:val="004E3067"/>
    <w:rsid w:val="004E3179"/>
    <w:rsid w:val="004E40B8"/>
    <w:rsid w:val="004F25D3"/>
    <w:rsid w:val="004F2FBD"/>
    <w:rsid w:val="004F3860"/>
    <w:rsid w:val="004F4204"/>
    <w:rsid w:val="004F4726"/>
    <w:rsid w:val="00506209"/>
    <w:rsid w:val="005064FD"/>
    <w:rsid w:val="00511B62"/>
    <w:rsid w:val="00512426"/>
    <w:rsid w:val="00515E37"/>
    <w:rsid w:val="00522F16"/>
    <w:rsid w:val="0053485D"/>
    <w:rsid w:val="00536CA3"/>
    <w:rsid w:val="00540493"/>
    <w:rsid w:val="00541BE6"/>
    <w:rsid w:val="00542BCC"/>
    <w:rsid w:val="0054756D"/>
    <w:rsid w:val="00551C68"/>
    <w:rsid w:val="0055272F"/>
    <w:rsid w:val="0056009A"/>
    <w:rsid w:val="005661B0"/>
    <w:rsid w:val="00573D55"/>
    <w:rsid w:val="005770AC"/>
    <w:rsid w:val="005870A9"/>
    <w:rsid w:val="0058788C"/>
    <w:rsid w:val="005931E4"/>
    <w:rsid w:val="00593585"/>
    <w:rsid w:val="005953C2"/>
    <w:rsid w:val="005970B0"/>
    <w:rsid w:val="005A1614"/>
    <w:rsid w:val="005A70FE"/>
    <w:rsid w:val="005B44B2"/>
    <w:rsid w:val="005C07C9"/>
    <w:rsid w:val="005C0BBA"/>
    <w:rsid w:val="005C594F"/>
    <w:rsid w:val="005C5A64"/>
    <w:rsid w:val="005D0941"/>
    <w:rsid w:val="005F27A9"/>
    <w:rsid w:val="00600E23"/>
    <w:rsid w:val="0060275F"/>
    <w:rsid w:val="006053B4"/>
    <w:rsid w:val="00610605"/>
    <w:rsid w:val="00611DE5"/>
    <w:rsid w:val="0061302A"/>
    <w:rsid w:val="006169E7"/>
    <w:rsid w:val="00616CE5"/>
    <w:rsid w:val="00616FCC"/>
    <w:rsid w:val="00620F56"/>
    <w:rsid w:val="0063090A"/>
    <w:rsid w:val="00633599"/>
    <w:rsid w:val="006340A6"/>
    <w:rsid w:val="006371DA"/>
    <w:rsid w:val="0063792D"/>
    <w:rsid w:val="00637E43"/>
    <w:rsid w:val="0064351C"/>
    <w:rsid w:val="0064451E"/>
    <w:rsid w:val="006503EB"/>
    <w:rsid w:val="006503ED"/>
    <w:rsid w:val="0065616F"/>
    <w:rsid w:val="00656A82"/>
    <w:rsid w:val="006607C3"/>
    <w:rsid w:val="00665F43"/>
    <w:rsid w:val="006666E7"/>
    <w:rsid w:val="006704CB"/>
    <w:rsid w:val="006875CE"/>
    <w:rsid w:val="00687CAC"/>
    <w:rsid w:val="00690EDE"/>
    <w:rsid w:val="00692D1D"/>
    <w:rsid w:val="00697B87"/>
    <w:rsid w:val="00697E34"/>
    <w:rsid w:val="006A0980"/>
    <w:rsid w:val="006A5862"/>
    <w:rsid w:val="006B02EC"/>
    <w:rsid w:val="006B1BE2"/>
    <w:rsid w:val="006B2459"/>
    <w:rsid w:val="006B3973"/>
    <w:rsid w:val="006C6044"/>
    <w:rsid w:val="006C6EF8"/>
    <w:rsid w:val="006D5F53"/>
    <w:rsid w:val="006D625C"/>
    <w:rsid w:val="006D67D7"/>
    <w:rsid w:val="006D7589"/>
    <w:rsid w:val="006F01D7"/>
    <w:rsid w:val="006F1FFF"/>
    <w:rsid w:val="006F77E3"/>
    <w:rsid w:val="00701AB5"/>
    <w:rsid w:val="00704838"/>
    <w:rsid w:val="007071A2"/>
    <w:rsid w:val="00713FF7"/>
    <w:rsid w:val="00717B78"/>
    <w:rsid w:val="0072075A"/>
    <w:rsid w:val="0072141D"/>
    <w:rsid w:val="00727CDD"/>
    <w:rsid w:val="00731921"/>
    <w:rsid w:val="00731D04"/>
    <w:rsid w:val="0073485C"/>
    <w:rsid w:val="007355DD"/>
    <w:rsid w:val="0074062E"/>
    <w:rsid w:val="007416F5"/>
    <w:rsid w:val="007438D1"/>
    <w:rsid w:val="00743C8A"/>
    <w:rsid w:val="00744ADB"/>
    <w:rsid w:val="0074757D"/>
    <w:rsid w:val="00754C7F"/>
    <w:rsid w:val="00755272"/>
    <w:rsid w:val="00756427"/>
    <w:rsid w:val="00762903"/>
    <w:rsid w:val="007640F3"/>
    <w:rsid w:val="00770BF7"/>
    <w:rsid w:val="00772F61"/>
    <w:rsid w:val="00781E11"/>
    <w:rsid w:val="007823C1"/>
    <w:rsid w:val="00787C20"/>
    <w:rsid w:val="00794BDF"/>
    <w:rsid w:val="007957B0"/>
    <w:rsid w:val="007A19FB"/>
    <w:rsid w:val="007A2811"/>
    <w:rsid w:val="007A3709"/>
    <w:rsid w:val="007A6B96"/>
    <w:rsid w:val="007B30AB"/>
    <w:rsid w:val="007B3C32"/>
    <w:rsid w:val="007B43F3"/>
    <w:rsid w:val="007B56B2"/>
    <w:rsid w:val="007B6414"/>
    <w:rsid w:val="007B712C"/>
    <w:rsid w:val="007C01CA"/>
    <w:rsid w:val="007C1ECC"/>
    <w:rsid w:val="007C343C"/>
    <w:rsid w:val="007C67A3"/>
    <w:rsid w:val="007D07EE"/>
    <w:rsid w:val="007D41E6"/>
    <w:rsid w:val="007E2CB5"/>
    <w:rsid w:val="007E39DC"/>
    <w:rsid w:val="007E3CD4"/>
    <w:rsid w:val="007E6C1D"/>
    <w:rsid w:val="007F128E"/>
    <w:rsid w:val="007F1EE6"/>
    <w:rsid w:val="007F43DF"/>
    <w:rsid w:val="007F4816"/>
    <w:rsid w:val="007F4EBC"/>
    <w:rsid w:val="007F5C5E"/>
    <w:rsid w:val="007F7030"/>
    <w:rsid w:val="008019C1"/>
    <w:rsid w:val="008038E5"/>
    <w:rsid w:val="00806ADA"/>
    <w:rsid w:val="00810721"/>
    <w:rsid w:val="00814284"/>
    <w:rsid w:val="00816A55"/>
    <w:rsid w:val="0082089C"/>
    <w:rsid w:val="00822719"/>
    <w:rsid w:val="008229A4"/>
    <w:rsid w:val="00822AEB"/>
    <w:rsid w:val="00823832"/>
    <w:rsid w:val="008242B6"/>
    <w:rsid w:val="00824990"/>
    <w:rsid w:val="00834D80"/>
    <w:rsid w:val="008375FC"/>
    <w:rsid w:val="00837C9D"/>
    <w:rsid w:val="00841F36"/>
    <w:rsid w:val="008447EE"/>
    <w:rsid w:val="00845190"/>
    <w:rsid w:val="00845AA1"/>
    <w:rsid w:val="00853341"/>
    <w:rsid w:val="00855D92"/>
    <w:rsid w:val="008560B6"/>
    <w:rsid w:val="008601E6"/>
    <w:rsid w:val="00870AD6"/>
    <w:rsid w:val="0087298D"/>
    <w:rsid w:val="008742C2"/>
    <w:rsid w:val="008742D0"/>
    <w:rsid w:val="0087522A"/>
    <w:rsid w:val="00882941"/>
    <w:rsid w:val="00887C38"/>
    <w:rsid w:val="008908D2"/>
    <w:rsid w:val="0089327F"/>
    <w:rsid w:val="008A5A8A"/>
    <w:rsid w:val="008A65E1"/>
    <w:rsid w:val="008A7664"/>
    <w:rsid w:val="008B20C0"/>
    <w:rsid w:val="008C3458"/>
    <w:rsid w:val="008D0753"/>
    <w:rsid w:val="008D1FC2"/>
    <w:rsid w:val="008D64C2"/>
    <w:rsid w:val="008D7FC4"/>
    <w:rsid w:val="008E0D76"/>
    <w:rsid w:val="008E17C8"/>
    <w:rsid w:val="008E1D78"/>
    <w:rsid w:val="008E4840"/>
    <w:rsid w:val="008E5729"/>
    <w:rsid w:val="008E5738"/>
    <w:rsid w:val="008F11F2"/>
    <w:rsid w:val="008F421B"/>
    <w:rsid w:val="00900BFD"/>
    <w:rsid w:val="00902F0D"/>
    <w:rsid w:val="00912017"/>
    <w:rsid w:val="00914225"/>
    <w:rsid w:val="009149CC"/>
    <w:rsid w:val="009150CF"/>
    <w:rsid w:val="009172CD"/>
    <w:rsid w:val="009175BF"/>
    <w:rsid w:val="00923E38"/>
    <w:rsid w:val="0092699A"/>
    <w:rsid w:val="009341B6"/>
    <w:rsid w:val="00935706"/>
    <w:rsid w:val="009411BE"/>
    <w:rsid w:val="0094462B"/>
    <w:rsid w:val="0095240C"/>
    <w:rsid w:val="00964B7B"/>
    <w:rsid w:val="00973543"/>
    <w:rsid w:val="00975950"/>
    <w:rsid w:val="0098334E"/>
    <w:rsid w:val="0098665C"/>
    <w:rsid w:val="00986C63"/>
    <w:rsid w:val="0099244A"/>
    <w:rsid w:val="00997A7C"/>
    <w:rsid w:val="009A05B2"/>
    <w:rsid w:val="009A2423"/>
    <w:rsid w:val="009A3CE8"/>
    <w:rsid w:val="009A6721"/>
    <w:rsid w:val="009B29B0"/>
    <w:rsid w:val="009B3712"/>
    <w:rsid w:val="009B4448"/>
    <w:rsid w:val="009C4698"/>
    <w:rsid w:val="009C6900"/>
    <w:rsid w:val="009C6CFA"/>
    <w:rsid w:val="009D3B93"/>
    <w:rsid w:val="009D4697"/>
    <w:rsid w:val="009D7AE7"/>
    <w:rsid w:val="009E0A2A"/>
    <w:rsid w:val="009E3CB4"/>
    <w:rsid w:val="009F2983"/>
    <w:rsid w:val="009F47A5"/>
    <w:rsid w:val="009F6C3F"/>
    <w:rsid w:val="009F73D5"/>
    <w:rsid w:val="00A03C64"/>
    <w:rsid w:val="00A04023"/>
    <w:rsid w:val="00A10A2A"/>
    <w:rsid w:val="00A12207"/>
    <w:rsid w:val="00A15ED0"/>
    <w:rsid w:val="00A31BE3"/>
    <w:rsid w:val="00A34CAB"/>
    <w:rsid w:val="00A351F6"/>
    <w:rsid w:val="00A40A8D"/>
    <w:rsid w:val="00A4578D"/>
    <w:rsid w:val="00A566D2"/>
    <w:rsid w:val="00A6030E"/>
    <w:rsid w:val="00A60D32"/>
    <w:rsid w:val="00A62ED6"/>
    <w:rsid w:val="00A64976"/>
    <w:rsid w:val="00A65479"/>
    <w:rsid w:val="00A66B5B"/>
    <w:rsid w:val="00A701A1"/>
    <w:rsid w:val="00A71718"/>
    <w:rsid w:val="00A71F0A"/>
    <w:rsid w:val="00A802D1"/>
    <w:rsid w:val="00A85811"/>
    <w:rsid w:val="00A8656F"/>
    <w:rsid w:val="00A86707"/>
    <w:rsid w:val="00A9134E"/>
    <w:rsid w:val="00A92540"/>
    <w:rsid w:val="00A946D7"/>
    <w:rsid w:val="00A9655D"/>
    <w:rsid w:val="00AA0D32"/>
    <w:rsid w:val="00AA2B14"/>
    <w:rsid w:val="00AA4104"/>
    <w:rsid w:val="00AA4123"/>
    <w:rsid w:val="00AA526B"/>
    <w:rsid w:val="00AA5547"/>
    <w:rsid w:val="00AA57B3"/>
    <w:rsid w:val="00AA5AAD"/>
    <w:rsid w:val="00AA5C66"/>
    <w:rsid w:val="00AA7CD2"/>
    <w:rsid w:val="00AB02FE"/>
    <w:rsid w:val="00AC02C0"/>
    <w:rsid w:val="00AC27FE"/>
    <w:rsid w:val="00AC2AAC"/>
    <w:rsid w:val="00AD389E"/>
    <w:rsid w:val="00AD44DC"/>
    <w:rsid w:val="00AD585B"/>
    <w:rsid w:val="00AE142A"/>
    <w:rsid w:val="00AE323B"/>
    <w:rsid w:val="00AE51FC"/>
    <w:rsid w:val="00AF2CE1"/>
    <w:rsid w:val="00B022EF"/>
    <w:rsid w:val="00B032A4"/>
    <w:rsid w:val="00B06470"/>
    <w:rsid w:val="00B06482"/>
    <w:rsid w:val="00B06FE6"/>
    <w:rsid w:val="00B104CC"/>
    <w:rsid w:val="00B167DF"/>
    <w:rsid w:val="00B16F55"/>
    <w:rsid w:val="00B309A1"/>
    <w:rsid w:val="00B324BA"/>
    <w:rsid w:val="00B3376B"/>
    <w:rsid w:val="00B37F67"/>
    <w:rsid w:val="00B40172"/>
    <w:rsid w:val="00B40263"/>
    <w:rsid w:val="00B418EB"/>
    <w:rsid w:val="00B41CBC"/>
    <w:rsid w:val="00B47BDA"/>
    <w:rsid w:val="00B50948"/>
    <w:rsid w:val="00B50F50"/>
    <w:rsid w:val="00B60725"/>
    <w:rsid w:val="00B643A5"/>
    <w:rsid w:val="00B70CC6"/>
    <w:rsid w:val="00B73991"/>
    <w:rsid w:val="00B757E8"/>
    <w:rsid w:val="00B765F7"/>
    <w:rsid w:val="00B80D1D"/>
    <w:rsid w:val="00B82E04"/>
    <w:rsid w:val="00B83283"/>
    <w:rsid w:val="00B83C37"/>
    <w:rsid w:val="00B84558"/>
    <w:rsid w:val="00B8553D"/>
    <w:rsid w:val="00B85AFE"/>
    <w:rsid w:val="00B85EDB"/>
    <w:rsid w:val="00B901A0"/>
    <w:rsid w:val="00B90DA0"/>
    <w:rsid w:val="00B92497"/>
    <w:rsid w:val="00B93A58"/>
    <w:rsid w:val="00BA1EC2"/>
    <w:rsid w:val="00BA24D9"/>
    <w:rsid w:val="00BA4550"/>
    <w:rsid w:val="00BB03DE"/>
    <w:rsid w:val="00BB5CFF"/>
    <w:rsid w:val="00BC0143"/>
    <w:rsid w:val="00BC577A"/>
    <w:rsid w:val="00BD156E"/>
    <w:rsid w:val="00BD173A"/>
    <w:rsid w:val="00BD1F0A"/>
    <w:rsid w:val="00BD4861"/>
    <w:rsid w:val="00BD652E"/>
    <w:rsid w:val="00BD7A3E"/>
    <w:rsid w:val="00BE7F0B"/>
    <w:rsid w:val="00BF060F"/>
    <w:rsid w:val="00BF6403"/>
    <w:rsid w:val="00BF6D33"/>
    <w:rsid w:val="00C03BC5"/>
    <w:rsid w:val="00C04C3B"/>
    <w:rsid w:val="00C05ECA"/>
    <w:rsid w:val="00C072B3"/>
    <w:rsid w:val="00C1148F"/>
    <w:rsid w:val="00C12483"/>
    <w:rsid w:val="00C1634D"/>
    <w:rsid w:val="00C2276A"/>
    <w:rsid w:val="00C2411F"/>
    <w:rsid w:val="00C31BF1"/>
    <w:rsid w:val="00C3338E"/>
    <w:rsid w:val="00C34956"/>
    <w:rsid w:val="00C366C5"/>
    <w:rsid w:val="00C36D59"/>
    <w:rsid w:val="00C378A6"/>
    <w:rsid w:val="00C44090"/>
    <w:rsid w:val="00C47504"/>
    <w:rsid w:val="00C5035A"/>
    <w:rsid w:val="00C55BB9"/>
    <w:rsid w:val="00C568AD"/>
    <w:rsid w:val="00C63C5B"/>
    <w:rsid w:val="00C719D2"/>
    <w:rsid w:val="00C74534"/>
    <w:rsid w:val="00C76C36"/>
    <w:rsid w:val="00C90347"/>
    <w:rsid w:val="00CA36A2"/>
    <w:rsid w:val="00CA5E28"/>
    <w:rsid w:val="00CB69D5"/>
    <w:rsid w:val="00CC635A"/>
    <w:rsid w:val="00CD32B6"/>
    <w:rsid w:val="00CD55C2"/>
    <w:rsid w:val="00CD7113"/>
    <w:rsid w:val="00CD72D7"/>
    <w:rsid w:val="00CD7E95"/>
    <w:rsid w:val="00CE4E24"/>
    <w:rsid w:val="00CF0688"/>
    <w:rsid w:val="00CF179D"/>
    <w:rsid w:val="00CF18CD"/>
    <w:rsid w:val="00CF61B6"/>
    <w:rsid w:val="00CF7B94"/>
    <w:rsid w:val="00D0136B"/>
    <w:rsid w:val="00D01AD4"/>
    <w:rsid w:val="00D04DB3"/>
    <w:rsid w:val="00D06821"/>
    <w:rsid w:val="00D14AF1"/>
    <w:rsid w:val="00D26F25"/>
    <w:rsid w:val="00D3322C"/>
    <w:rsid w:val="00D3464A"/>
    <w:rsid w:val="00D44CA8"/>
    <w:rsid w:val="00D4639F"/>
    <w:rsid w:val="00D475FD"/>
    <w:rsid w:val="00D50837"/>
    <w:rsid w:val="00D531F6"/>
    <w:rsid w:val="00D547BA"/>
    <w:rsid w:val="00D5651F"/>
    <w:rsid w:val="00D60444"/>
    <w:rsid w:val="00D60B00"/>
    <w:rsid w:val="00D60DBC"/>
    <w:rsid w:val="00D65B03"/>
    <w:rsid w:val="00D676BC"/>
    <w:rsid w:val="00D81BB9"/>
    <w:rsid w:val="00D84B71"/>
    <w:rsid w:val="00D97002"/>
    <w:rsid w:val="00DA0B2E"/>
    <w:rsid w:val="00DA345F"/>
    <w:rsid w:val="00DB2F01"/>
    <w:rsid w:val="00DB7B34"/>
    <w:rsid w:val="00DC2BF2"/>
    <w:rsid w:val="00DC4B45"/>
    <w:rsid w:val="00DC4E58"/>
    <w:rsid w:val="00DC7AED"/>
    <w:rsid w:val="00DC7ED4"/>
    <w:rsid w:val="00DD0828"/>
    <w:rsid w:val="00DD1342"/>
    <w:rsid w:val="00E02ED3"/>
    <w:rsid w:val="00E05231"/>
    <w:rsid w:val="00E114C6"/>
    <w:rsid w:val="00E13642"/>
    <w:rsid w:val="00E16673"/>
    <w:rsid w:val="00E16EC0"/>
    <w:rsid w:val="00E239B5"/>
    <w:rsid w:val="00E26762"/>
    <w:rsid w:val="00E26C29"/>
    <w:rsid w:val="00E314C1"/>
    <w:rsid w:val="00E43F4A"/>
    <w:rsid w:val="00E4488F"/>
    <w:rsid w:val="00E459EF"/>
    <w:rsid w:val="00E52898"/>
    <w:rsid w:val="00E528D8"/>
    <w:rsid w:val="00E620F8"/>
    <w:rsid w:val="00E621DA"/>
    <w:rsid w:val="00E63577"/>
    <w:rsid w:val="00E653FD"/>
    <w:rsid w:val="00E65D18"/>
    <w:rsid w:val="00E67138"/>
    <w:rsid w:val="00E74E0C"/>
    <w:rsid w:val="00E75072"/>
    <w:rsid w:val="00E76CDA"/>
    <w:rsid w:val="00E808C3"/>
    <w:rsid w:val="00E81DAC"/>
    <w:rsid w:val="00E82A75"/>
    <w:rsid w:val="00E83746"/>
    <w:rsid w:val="00E87C27"/>
    <w:rsid w:val="00E93A0D"/>
    <w:rsid w:val="00E93E39"/>
    <w:rsid w:val="00E94AD6"/>
    <w:rsid w:val="00E96A18"/>
    <w:rsid w:val="00E96E1E"/>
    <w:rsid w:val="00EA2D9D"/>
    <w:rsid w:val="00EA2E4D"/>
    <w:rsid w:val="00EA3256"/>
    <w:rsid w:val="00EA6BA1"/>
    <w:rsid w:val="00EB0874"/>
    <w:rsid w:val="00EB12FF"/>
    <w:rsid w:val="00EB4118"/>
    <w:rsid w:val="00EC01F5"/>
    <w:rsid w:val="00EC2BDB"/>
    <w:rsid w:val="00ED3380"/>
    <w:rsid w:val="00ED7B6D"/>
    <w:rsid w:val="00EE3556"/>
    <w:rsid w:val="00EF3671"/>
    <w:rsid w:val="00F03BA7"/>
    <w:rsid w:val="00F05045"/>
    <w:rsid w:val="00F05046"/>
    <w:rsid w:val="00F05967"/>
    <w:rsid w:val="00F05C82"/>
    <w:rsid w:val="00F079EE"/>
    <w:rsid w:val="00F129DC"/>
    <w:rsid w:val="00F21ED9"/>
    <w:rsid w:val="00F24183"/>
    <w:rsid w:val="00F24CEF"/>
    <w:rsid w:val="00F26870"/>
    <w:rsid w:val="00F26EDE"/>
    <w:rsid w:val="00F30E26"/>
    <w:rsid w:val="00F31336"/>
    <w:rsid w:val="00F431F7"/>
    <w:rsid w:val="00F5010F"/>
    <w:rsid w:val="00F50C6F"/>
    <w:rsid w:val="00F53F28"/>
    <w:rsid w:val="00F564E4"/>
    <w:rsid w:val="00F64AF8"/>
    <w:rsid w:val="00F70373"/>
    <w:rsid w:val="00F71FF5"/>
    <w:rsid w:val="00F7362D"/>
    <w:rsid w:val="00F74636"/>
    <w:rsid w:val="00F750F8"/>
    <w:rsid w:val="00F80E19"/>
    <w:rsid w:val="00F8307F"/>
    <w:rsid w:val="00F9018A"/>
    <w:rsid w:val="00F96261"/>
    <w:rsid w:val="00FA442B"/>
    <w:rsid w:val="00FA77E2"/>
    <w:rsid w:val="00FA79AA"/>
    <w:rsid w:val="00FC12E7"/>
    <w:rsid w:val="00FC2B1F"/>
    <w:rsid w:val="00FC51A4"/>
    <w:rsid w:val="00FC6A06"/>
    <w:rsid w:val="00FD21A9"/>
    <w:rsid w:val="00FD23F2"/>
    <w:rsid w:val="00FD6C3C"/>
    <w:rsid w:val="00FE07A4"/>
    <w:rsid w:val="00FE12C7"/>
    <w:rsid w:val="00FE29FB"/>
    <w:rsid w:val="00FE6E5C"/>
    <w:rsid w:val="00FF3008"/>
    <w:rsid w:val="00FF46B4"/>
    <w:rsid w:val="00FF500B"/>
    <w:rsid w:val="00FF5EE8"/>
    <w:rsid w:val="00FF603F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5370A"/>
  <w15:docId w15:val="{6BCC7C3D-D70C-45A8-9A87-AA35940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1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6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2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B4ADC"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C27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656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656F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A8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5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44C41"/>
    <w:pPr>
      <w:spacing w:line="360" w:lineRule="auto"/>
      <w:jc w:val="center"/>
    </w:pPr>
    <w:rPr>
      <w:rFonts w:ascii="Arial" w:hAnsi="Arial" w:cs="Arial"/>
      <w:sz w:val="72"/>
    </w:rPr>
  </w:style>
  <w:style w:type="character" w:customStyle="1" w:styleId="BodyTextChar">
    <w:name w:val="Body Text Char"/>
    <w:basedOn w:val="DefaultParagraphFont"/>
    <w:link w:val="BodyText"/>
    <w:rsid w:val="00044C41"/>
    <w:rPr>
      <w:rFonts w:ascii="Arial" w:hAnsi="Arial" w:cs="Arial"/>
      <w:sz w:val="72"/>
      <w:szCs w:val="24"/>
    </w:rPr>
  </w:style>
  <w:style w:type="character" w:customStyle="1" w:styleId="Heading3Char">
    <w:name w:val="Heading 3 Char"/>
    <w:basedOn w:val="DefaultParagraphFont"/>
    <w:link w:val="Heading3"/>
    <w:rsid w:val="003B4ADC"/>
    <w:rPr>
      <w:rFonts w:ascii="Arial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7B6D"/>
    <w:pPr>
      <w:ind w:left="720"/>
      <w:contextualSpacing/>
    </w:pPr>
  </w:style>
  <w:style w:type="paragraph" w:styleId="Header">
    <w:name w:val="header"/>
    <w:basedOn w:val="Normal"/>
    <w:link w:val="HeaderChar"/>
    <w:rsid w:val="00FF7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7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BE3"/>
    <w:rPr>
      <w:sz w:val="24"/>
      <w:szCs w:val="24"/>
    </w:rPr>
  </w:style>
  <w:style w:type="paragraph" w:styleId="FootnoteText">
    <w:name w:val="footnote text"/>
    <w:basedOn w:val="Normal"/>
    <w:link w:val="FootnoteTextChar"/>
    <w:rsid w:val="00FF7B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BE3"/>
  </w:style>
  <w:style w:type="character" w:styleId="FootnoteReference">
    <w:name w:val="footnote reference"/>
    <w:basedOn w:val="DefaultParagraphFont"/>
    <w:rsid w:val="00FF7BE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AC2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AC27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A12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0C3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C3B2F"/>
    <w:rPr>
      <w:sz w:val="24"/>
      <w:szCs w:val="24"/>
    </w:rPr>
  </w:style>
  <w:style w:type="character" w:customStyle="1" w:styleId="st1">
    <w:name w:val="st1"/>
    <w:basedOn w:val="DefaultParagraphFont"/>
    <w:rsid w:val="00142F4C"/>
  </w:style>
  <w:style w:type="paragraph" w:customStyle="1" w:styleId="Numberedparagraph">
    <w:name w:val="Numbered paragraph"/>
    <w:basedOn w:val="Normal"/>
    <w:autoRedefine/>
    <w:rsid w:val="009172CD"/>
    <w:pPr>
      <w:numPr>
        <w:numId w:val="1"/>
      </w:numPr>
      <w:tabs>
        <w:tab w:val="num" w:pos="634"/>
        <w:tab w:val="left" w:pos="851"/>
      </w:tabs>
      <w:spacing w:after="160"/>
      <w:ind w:left="634"/>
      <w:jc w:val="both"/>
    </w:pPr>
    <w:rPr>
      <w:rFonts w:ascii="Arial" w:hAnsi="Arial"/>
      <w:sz w:val="22"/>
      <w:lang w:val="en-ZA"/>
    </w:rPr>
  </w:style>
  <w:style w:type="paragraph" w:customStyle="1" w:styleId="Numberedbodytext">
    <w:name w:val="Numbered body text"/>
    <w:basedOn w:val="Numberedparagraph"/>
    <w:qFormat/>
    <w:rsid w:val="009172CD"/>
    <w:pPr>
      <w:tabs>
        <w:tab w:val="clear" w:pos="634"/>
        <w:tab w:val="clear" w:pos="851"/>
      </w:tabs>
      <w:spacing w:before="160"/>
      <w:ind w:left="1404"/>
    </w:pPr>
  </w:style>
  <w:style w:type="paragraph" w:customStyle="1" w:styleId="Quick">
    <w:name w:val="Quick ­"/>
    <w:basedOn w:val="Normal"/>
    <w:rsid w:val="003C366E"/>
    <w:pPr>
      <w:widowControl w:val="0"/>
      <w:autoSpaceDE w:val="0"/>
      <w:autoSpaceDN w:val="0"/>
      <w:adjustRightInd w:val="0"/>
      <w:ind w:left="2160" w:hanging="720"/>
    </w:pPr>
    <w:rPr>
      <w:sz w:val="20"/>
      <w:lang w:val="en-ZA"/>
    </w:rPr>
  </w:style>
  <w:style w:type="paragraph" w:customStyle="1" w:styleId="Phil">
    <w:name w:val="Phil"/>
    <w:basedOn w:val="Normal"/>
    <w:rsid w:val="001C36B7"/>
    <w:pPr>
      <w:widowControl w:val="0"/>
      <w:spacing w:line="360" w:lineRule="auto"/>
      <w:jc w:val="both"/>
    </w:pPr>
    <w:rPr>
      <w:rFonts w:ascii="Arial" w:hAnsi="Arial"/>
      <w:szCs w:val="20"/>
      <w:lang w:val="en-ZA"/>
    </w:rPr>
  </w:style>
  <w:style w:type="character" w:styleId="CommentReference">
    <w:name w:val="annotation reference"/>
    <w:basedOn w:val="DefaultParagraphFont"/>
    <w:uiPriority w:val="99"/>
    <w:rsid w:val="00A80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0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2D1"/>
  </w:style>
  <w:style w:type="character" w:customStyle="1" w:styleId="Heading1Char">
    <w:name w:val="Heading 1 Char"/>
    <w:basedOn w:val="DefaultParagraphFont"/>
    <w:link w:val="Heading1"/>
    <w:rsid w:val="00856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E07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75FF04-CECE-43D0-90D6-1127D501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CENTLEC (SOC) LTD</vt:lpstr>
    </vt:vector>
  </TitlesOfParts>
  <Company>Ngwathe Municipality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CENTLEC (SOC) LTD</dc:title>
  <dc:subject>Budget Policy</dc:subject>
  <dc:creator>Charles Maduna</dc:creator>
  <cp:lastModifiedBy>Sibongile Nkane</cp:lastModifiedBy>
  <cp:revision>2</cp:revision>
  <cp:lastPrinted>2019-05-13T08:18:00Z</cp:lastPrinted>
  <dcterms:created xsi:type="dcterms:W3CDTF">2023-05-29T08:44:00Z</dcterms:created>
  <dcterms:modified xsi:type="dcterms:W3CDTF">2023-05-29T08:44:00Z</dcterms:modified>
</cp:coreProperties>
</file>